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7CB1D" w14:textId="646AECCC" w:rsidR="0040146E" w:rsidRDefault="001436A3" w:rsidP="0040146E">
      <w:pPr>
        <w:rPr>
          <w:rFonts w:cs="Arial"/>
          <w:lang w:val="en-US"/>
        </w:rPr>
      </w:pPr>
      <w:bookmarkStart w:id="0" w:name="_GoBack"/>
      <w:bookmarkEnd w:id="0"/>
      <w:r>
        <w:rPr>
          <w:rFonts w:cs="Arial"/>
          <w:lang w:val="en-US"/>
        </w:rPr>
        <w:t>June 18</w:t>
      </w:r>
      <w:r w:rsidR="0040146E">
        <w:rPr>
          <w:rFonts w:cs="Arial"/>
          <w:lang w:val="en-US"/>
        </w:rPr>
        <w:t>, 2021</w:t>
      </w:r>
    </w:p>
    <w:p w14:paraId="49B8133E" w14:textId="4DC7E48C" w:rsidR="0040146E" w:rsidRDefault="0040146E" w:rsidP="0040146E">
      <w:pPr>
        <w:rPr>
          <w:rFonts w:cs="Arial"/>
          <w:lang w:val="en-US"/>
        </w:rPr>
      </w:pPr>
      <w:r>
        <w:rPr>
          <w:rFonts w:cs="Arial"/>
          <w:lang w:val="en-US"/>
        </w:rPr>
        <w:t>VIA EMAIL: mecp.landpolicy@ontario.ca</w:t>
      </w:r>
    </w:p>
    <w:p w14:paraId="35C7072B" w14:textId="73BF99A7" w:rsidR="0040146E" w:rsidRDefault="00E241F9" w:rsidP="0040146E">
      <w:pPr>
        <w:spacing w:after="0" w:line="240" w:lineRule="auto"/>
        <w:rPr>
          <w:rFonts w:cs="Arial"/>
          <w:lang w:val="en-US"/>
        </w:rPr>
      </w:pPr>
      <w:r>
        <w:rPr>
          <w:rFonts w:cs="Arial"/>
          <w:lang w:val="en-US"/>
        </w:rPr>
        <w:t xml:space="preserve">Mr. </w:t>
      </w:r>
      <w:r w:rsidR="0040146E">
        <w:rPr>
          <w:rFonts w:cs="Arial"/>
          <w:lang w:val="en-US"/>
        </w:rPr>
        <w:t xml:space="preserve">Sanjay Coelho </w:t>
      </w:r>
    </w:p>
    <w:p w14:paraId="2F6AC7B3" w14:textId="044FA514" w:rsidR="0040146E" w:rsidRDefault="0040146E" w:rsidP="0040146E">
      <w:pPr>
        <w:spacing w:after="0" w:line="240" w:lineRule="auto"/>
        <w:rPr>
          <w:rFonts w:cs="Arial"/>
          <w:lang w:val="en-US"/>
        </w:rPr>
      </w:pPr>
      <w:r>
        <w:rPr>
          <w:rFonts w:cs="Arial"/>
          <w:lang w:val="en-US"/>
        </w:rPr>
        <w:t xml:space="preserve">Senior Policy Analyst </w:t>
      </w:r>
    </w:p>
    <w:p w14:paraId="2E7BF805" w14:textId="65F20AE2" w:rsidR="0040146E" w:rsidRDefault="0040146E" w:rsidP="0040146E">
      <w:pPr>
        <w:spacing w:after="0" w:line="240" w:lineRule="auto"/>
        <w:rPr>
          <w:rFonts w:cs="Arial"/>
          <w:lang w:val="en-US"/>
        </w:rPr>
      </w:pPr>
      <w:r>
        <w:rPr>
          <w:rFonts w:cs="Arial"/>
          <w:lang w:val="en-US"/>
        </w:rPr>
        <w:t>Ministry of Environment, Conservation and Parks – Environmental Policy Branch</w:t>
      </w:r>
    </w:p>
    <w:p w14:paraId="64E6910F" w14:textId="3C98314C" w:rsidR="0040146E" w:rsidRDefault="0040146E" w:rsidP="0040146E">
      <w:pPr>
        <w:spacing w:after="0" w:line="240" w:lineRule="auto"/>
        <w:rPr>
          <w:rFonts w:cs="Arial"/>
          <w:lang w:val="en-US"/>
        </w:rPr>
      </w:pPr>
      <w:r>
        <w:rPr>
          <w:rFonts w:cs="Arial"/>
          <w:lang w:val="en-US"/>
        </w:rPr>
        <w:t xml:space="preserve">40 St. Clair Ave. W. Floor 10 </w:t>
      </w:r>
    </w:p>
    <w:p w14:paraId="7C57E3F5" w14:textId="778C4AAB" w:rsidR="0040146E" w:rsidRDefault="0040146E" w:rsidP="0040146E">
      <w:pPr>
        <w:spacing w:after="0" w:line="240" w:lineRule="auto"/>
        <w:rPr>
          <w:rFonts w:cs="Arial"/>
          <w:lang w:val="en-US"/>
        </w:rPr>
      </w:pPr>
      <w:r>
        <w:rPr>
          <w:rFonts w:cs="Arial"/>
          <w:lang w:val="en-US"/>
        </w:rPr>
        <w:t>Toronto, ON M4V 1M2</w:t>
      </w:r>
    </w:p>
    <w:p w14:paraId="52D12357" w14:textId="77777777" w:rsidR="0040146E" w:rsidRDefault="0040146E" w:rsidP="0040146E">
      <w:pPr>
        <w:spacing w:after="0" w:line="240" w:lineRule="auto"/>
        <w:rPr>
          <w:rFonts w:cs="Arial"/>
          <w:lang w:val="en-US"/>
        </w:rPr>
      </w:pPr>
    </w:p>
    <w:p w14:paraId="3C45ABD4" w14:textId="40579923" w:rsidR="0040146E" w:rsidRDefault="0040146E" w:rsidP="0040146E">
      <w:pPr>
        <w:spacing w:after="0" w:line="240" w:lineRule="auto"/>
        <w:rPr>
          <w:rFonts w:cs="Arial"/>
          <w:lang w:val="en-US"/>
        </w:rPr>
      </w:pPr>
      <w:r>
        <w:rPr>
          <w:rFonts w:cs="Arial"/>
          <w:lang w:val="en-US"/>
        </w:rPr>
        <w:t>Dear Mr. Coelho:</w:t>
      </w:r>
    </w:p>
    <w:p w14:paraId="57DDBB15" w14:textId="77777777" w:rsidR="0040146E" w:rsidRDefault="0040146E" w:rsidP="0040146E">
      <w:pPr>
        <w:spacing w:after="0" w:line="240" w:lineRule="auto"/>
        <w:rPr>
          <w:rFonts w:cs="Arial"/>
          <w:lang w:val="en-US"/>
        </w:rPr>
      </w:pPr>
    </w:p>
    <w:p w14:paraId="705EF103" w14:textId="14236715" w:rsidR="0040146E" w:rsidRDefault="0040146E" w:rsidP="0040146E">
      <w:pPr>
        <w:spacing w:after="0" w:line="240" w:lineRule="auto"/>
        <w:ind w:left="720" w:hanging="720"/>
        <w:rPr>
          <w:rFonts w:cs="Arial"/>
          <w:b/>
          <w:lang w:val="en-US"/>
        </w:rPr>
      </w:pPr>
      <w:r>
        <w:rPr>
          <w:rFonts w:cs="Arial"/>
          <w:b/>
          <w:lang w:val="en-US"/>
        </w:rPr>
        <w:t>Re:</w:t>
      </w:r>
      <w:r>
        <w:rPr>
          <w:rFonts w:cs="Arial"/>
          <w:b/>
          <w:lang w:val="en-US"/>
        </w:rPr>
        <w:tab/>
        <w:t>Propos</w:t>
      </w:r>
      <w:r w:rsidR="00AD756F">
        <w:rPr>
          <w:rFonts w:cs="Arial"/>
          <w:b/>
          <w:lang w:val="en-US"/>
        </w:rPr>
        <w:t xml:space="preserve">ed Land Use Compatibility Guideline  </w:t>
      </w:r>
    </w:p>
    <w:p w14:paraId="0550FEDF" w14:textId="6A0A3AF6" w:rsidR="0040146E" w:rsidRDefault="0040146E" w:rsidP="0040146E">
      <w:pPr>
        <w:spacing w:after="0" w:line="240" w:lineRule="auto"/>
        <w:ind w:left="720" w:hanging="720"/>
        <w:rPr>
          <w:rFonts w:cs="Arial"/>
          <w:b/>
          <w:lang w:val="en-US"/>
        </w:rPr>
      </w:pPr>
      <w:r>
        <w:rPr>
          <w:rFonts w:cs="Arial"/>
          <w:b/>
          <w:u w:val="single"/>
          <w:lang w:val="en-US"/>
        </w:rPr>
        <w:tab/>
        <w:t>Environmental Registry Number</w:t>
      </w:r>
      <w:r w:rsidR="00AD756F">
        <w:rPr>
          <w:rFonts w:cs="Arial"/>
          <w:b/>
          <w:u w:val="single"/>
          <w:lang w:val="en-US"/>
        </w:rPr>
        <w:t xml:space="preserve"> 019-2785</w:t>
      </w:r>
      <w:r>
        <w:rPr>
          <w:rFonts w:cs="Arial"/>
          <w:b/>
          <w:u w:val="single"/>
          <w:lang w:val="en-US"/>
        </w:rPr>
        <w:tab/>
      </w:r>
      <w:r>
        <w:rPr>
          <w:rFonts w:cs="Arial"/>
          <w:b/>
          <w:u w:val="single"/>
          <w:lang w:val="en-US"/>
        </w:rPr>
        <w:tab/>
      </w:r>
      <w:r>
        <w:rPr>
          <w:rFonts w:cs="Arial"/>
          <w:b/>
          <w:u w:val="single"/>
          <w:lang w:val="en-US"/>
        </w:rPr>
        <w:tab/>
      </w:r>
      <w:r>
        <w:rPr>
          <w:rFonts w:cs="Arial"/>
          <w:b/>
          <w:u w:val="single"/>
          <w:lang w:val="en-US"/>
        </w:rPr>
        <w:tab/>
      </w:r>
      <w:r>
        <w:rPr>
          <w:rFonts w:cs="Arial"/>
          <w:b/>
          <w:u w:val="single"/>
          <w:lang w:val="en-US"/>
        </w:rPr>
        <w:tab/>
      </w:r>
    </w:p>
    <w:p w14:paraId="0F4E7161" w14:textId="77777777" w:rsidR="0040146E" w:rsidRDefault="0040146E" w:rsidP="0040146E">
      <w:pPr>
        <w:spacing w:after="0" w:line="240" w:lineRule="auto"/>
        <w:ind w:left="720" w:hanging="720"/>
        <w:rPr>
          <w:rFonts w:cs="Arial"/>
          <w:b/>
          <w:lang w:val="en-US"/>
        </w:rPr>
      </w:pPr>
    </w:p>
    <w:p w14:paraId="4AD4B897" w14:textId="67FD186D" w:rsidR="005342BF" w:rsidRDefault="00AD756F" w:rsidP="00162952">
      <w:pPr>
        <w:jc w:val="both"/>
        <w:rPr>
          <w:rFonts w:cstheme="minorHAnsi"/>
        </w:rPr>
      </w:pPr>
      <w:r>
        <w:rPr>
          <w:rFonts w:cstheme="minorHAnsi"/>
        </w:rPr>
        <w:t>The Niagara Escarpment Commission</w:t>
      </w:r>
      <w:r w:rsidR="00366FF1">
        <w:rPr>
          <w:rFonts w:cstheme="minorHAnsi"/>
        </w:rPr>
        <w:t xml:space="preserve"> (NEC)</w:t>
      </w:r>
      <w:r>
        <w:rPr>
          <w:rFonts w:cstheme="minorHAnsi"/>
        </w:rPr>
        <w:t xml:space="preserve"> has reviewed the</w:t>
      </w:r>
      <w:r w:rsidR="00366FF1">
        <w:rPr>
          <w:rFonts w:cstheme="minorHAnsi"/>
        </w:rPr>
        <w:t xml:space="preserve"> </w:t>
      </w:r>
      <w:r w:rsidR="00832A10">
        <w:rPr>
          <w:rFonts w:cstheme="minorHAnsi"/>
        </w:rPr>
        <w:t xml:space="preserve">draft </w:t>
      </w:r>
      <w:r>
        <w:rPr>
          <w:rFonts w:cstheme="minorHAnsi"/>
        </w:rPr>
        <w:t>Land Use Comp</w:t>
      </w:r>
      <w:r w:rsidR="00366FF1">
        <w:rPr>
          <w:rFonts w:cstheme="minorHAnsi"/>
        </w:rPr>
        <w:t>atibility Guideline</w:t>
      </w:r>
      <w:r w:rsidR="00FC20BE">
        <w:rPr>
          <w:rFonts w:cstheme="minorHAnsi"/>
        </w:rPr>
        <w:t xml:space="preserve"> </w:t>
      </w:r>
      <w:r w:rsidR="00162952">
        <w:rPr>
          <w:rFonts w:cstheme="minorHAnsi"/>
        </w:rPr>
        <w:t>(Guideline)</w:t>
      </w:r>
      <w:r w:rsidR="00366FF1">
        <w:rPr>
          <w:rFonts w:cstheme="minorHAnsi"/>
        </w:rPr>
        <w:t xml:space="preserve"> proposed by the Ministry of the Environment, Conservation and Parks (MECP). </w:t>
      </w:r>
      <w:r w:rsidR="003F2B90">
        <w:rPr>
          <w:rFonts w:cstheme="minorHAnsi"/>
        </w:rPr>
        <w:t>The NEC is an agency of the Government of Ontario</w:t>
      </w:r>
      <w:r w:rsidR="005342BF">
        <w:rPr>
          <w:rFonts w:cstheme="minorHAnsi"/>
        </w:rPr>
        <w:t>,</w:t>
      </w:r>
      <w:r w:rsidR="003F2B90">
        <w:rPr>
          <w:rFonts w:cstheme="minorHAnsi"/>
        </w:rPr>
        <w:t xml:space="preserve"> responsible for implementing the Niagara Escarpment Plan (NEP).</w:t>
      </w:r>
      <w:r w:rsidR="00CC6CFB">
        <w:rPr>
          <w:rFonts w:cstheme="minorHAnsi"/>
        </w:rPr>
        <w:t xml:space="preserve"> The </w:t>
      </w:r>
      <w:r w:rsidR="00E12831">
        <w:rPr>
          <w:rFonts w:cstheme="minorHAnsi"/>
        </w:rPr>
        <w:t>P</w:t>
      </w:r>
      <w:r w:rsidR="00CC6CFB">
        <w:rPr>
          <w:rFonts w:cstheme="minorHAnsi"/>
        </w:rPr>
        <w:t>urpose of th</w:t>
      </w:r>
      <w:r w:rsidR="00251112">
        <w:rPr>
          <w:rFonts w:cstheme="minorHAnsi"/>
        </w:rPr>
        <w:t>e</w:t>
      </w:r>
      <w:r w:rsidR="00CC6CFB">
        <w:rPr>
          <w:rFonts w:cstheme="minorHAnsi"/>
        </w:rPr>
        <w:t xml:space="preserve"> plan</w:t>
      </w:r>
      <w:r w:rsidR="004A5DB3">
        <w:rPr>
          <w:rFonts w:cstheme="minorHAnsi"/>
        </w:rPr>
        <w:t xml:space="preserve"> is to provide for the maintenance of the Niagara Escarpment and its surrounding lands as a continuous natural environment, </w:t>
      </w:r>
      <w:r w:rsidR="00273059">
        <w:rPr>
          <w:rFonts w:cstheme="minorHAnsi"/>
        </w:rPr>
        <w:t>and to ensure that only development that is compatible with the natural environment occurs.</w:t>
      </w:r>
      <w:r w:rsidR="00E62EEF">
        <w:rPr>
          <w:rFonts w:cstheme="minorHAnsi"/>
        </w:rPr>
        <w:t xml:space="preserve"> As stated in the draft document, the </w:t>
      </w:r>
      <w:r w:rsidR="00162952">
        <w:rPr>
          <w:rFonts w:cstheme="minorHAnsi"/>
        </w:rPr>
        <w:t>G</w:t>
      </w:r>
      <w:r w:rsidR="00E62EEF">
        <w:rPr>
          <w:rFonts w:cstheme="minorHAnsi"/>
        </w:rPr>
        <w:t xml:space="preserve">uideline is to be applied to achieve and maintain land use </w:t>
      </w:r>
      <w:r w:rsidR="0044076D">
        <w:rPr>
          <w:rFonts w:cstheme="minorHAnsi"/>
        </w:rPr>
        <w:t>compatibility</w:t>
      </w:r>
      <w:r w:rsidR="00E62EEF">
        <w:rPr>
          <w:rFonts w:cstheme="minorHAnsi"/>
        </w:rPr>
        <w:t xml:space="preserve"> between major facilities and sensitive land uses</w:t>
      </w:r>
      <w:r w:rsidR="0044076D">
        <w:rPr>
          <w:rFonts w:cstheme="minorHAnsi"/>
        </w:rPr>
        <w:t xml:space="preserve">, and is applicable to the </w:t>
      </w:r>
      <w:r w:rsidR="00E12831">
        <w:rPr>
          <w:rFonts w:cstheme="minorHAnsi"/>
        </w:rPr>
        <w:t>P</w:t>
      </w:r>
      <w:r w:rsidR="0044076D">
        <w:rPr>
          <w:rFonts w:cstheme="minorHAnsi"/>
        </w:rPr>
        <w:t xml:space="preserve">urpose and </w:t>
      </w:r>
      <w:r w:rsidR="00E12831">
        <w:rPr>
          <w:rFonts w:cstheme="minorHAnsi"/>
        </w:rPr>
        <w:t>O</w:t>
      </w:r>
      <w:r w:rsidR="0044076D">
        <w:rPr>
          <w:rFonts w:cstheme="minorHAnsi"/>
        </w:rPr>
        <w:t>bjectives of the NEP. Therefore, as t</w:t>
      </w:r>
      <w:r w:rsidR="0098190C">
        <w:rPr>
          <w:rFonts w:cstheme="minorHAnsi"/>
        </w:rPr>
        <w:t>he primary planning authority in the NEP area, t</w:t>
      </w:r>
      <w:r w:rsidR="00366FF1">
        <w:rPr>
          <w:rFonts w:cstheme="minorHAnsi"/>
        </w:rPr>
        <w:t xml:space="preserve">he NEC has the following comments: </w:t>
      </w:r>
    </w:p>
    <w:p w14:paraId="2C30CF96" w14:textId="1A94CDCE" w:rsidR="001A3725" w:rsidRPr="00DA3F64" w:rsidRDefault="0098125E" w:rsidP="00162952">
      <w:pPr>
        <w:jc w:val="both"/>
        <w:rPr>
          <w:rFonts w:cstheme="minorHAnsi"/>
        </w:rPr>
      </w:pPr>
      <w:r>
        <w:rPr>
          <w:rFonts w:cstheme="minorHAnsi"/>
        </w:rPr>
        <w:t xml:space="preserve">It should be noted that the current D-6 guideline for compatibility between Industrial Facilities </w:t>
      </w:r>
      <w:r w:rsidR="00A80E89">
        <w:rPr>
          <w:rFonts w:cstheme="minorHAnsi"/>
        </w:rPr>
        <w:t>refers</w:t>
      </w:r>
      <w:r w:rsidR="005342BF">
        <w:rPr>
          <w:rFonts w:cstheme="minorHAnsi"/>
        </w:rPr>
        <w:t xml:space="preserve"> to</w:t>
      </w:r>
      <w:r>
        <w:rPr>
          <w:rFonts w:cstheme="minorHAnsi"/>
        </w:rPr>
        <w:t xml:space="preserve"> section 9 of the </w:t>
      </w:r>
      <w:r w:rsidRPr="005342BF">
        <w:rPr>
          <w:rFonts w:cstheme="minorHAnsi"/>
          <w:i/>
          <w:iCs/>
        </w:rPr>
        <w:t>Niagara Escarpment Planning and Development Act</w:t>
      </w:r>
      <w:r>
        <w:rPr>
          <w:rFonts w:cstheme="minorHAnsi"/>
          <w:i/>
          <w:iCs/>
        </w:rPr>
        <w:t xml:space="preserve"> </w:t>
      </w:r>
      <w:r w:rsidRPr="005342BF">
        <w:rPr>
          <w:rFonts w:cstheme="minorHAnsi"/>
        </w:rPr>
        <w:t>(NEPDA)</w:t>
      </w:r>
      <w:r>
        <w:rPr>
          <w:rFonts w:cstheme="minorHAnsi"/>
        </w:rPr>
        <w:t xml:space="preserve"> </w:t>
      </w:r>
      <w:r w:rsidR="00C5526F">
        <w:rPr>
          <w:rFonts w:cstheme="minorHAnsi"/>
        </w:rPr>
        <w:t>which sets out what the NEP may contain in terms of policy. Included in that list of contents is “policies designed to ensure compatibility of development by the private sector</w:t>
      </w:r>
      <w:proofErr w:type="gramStart"/>
      <w:r w:rsidR="00C5526F">
        <w:rPr>
          <w:rFonts w:cstheme="minorHAnsi"/>
        </w:rPr>
        <w:t xml:space="preserve">” </w:t>
      </w:r>
      <w:r>
        <w:rPr>
          <w:rFonts w:cstheme="minorHAnsi"/>
        </w:rPr>
        <w:t>.</w:t>
      </w:r>
      <w:proofErr w:type="gramEnd"/>
      <w:r>
        <w:rPr>
          <w:rFonts w:cstheme="minorHAnsi"/>
        </w:rPr>
        <w:t xml:space="preserve"> However, </w:t>
      </w:r>
      <w:r w:rsidR="00C5526F">
        <w:rPr>
          <w:rFonts w:cstheme="minorHAnsi"/>
        </w:rPr>
        <w:t>any reference to the NEPDA or the NEC as a planning authority is</w:t>
      </w:r>
      <w:r>
        <w:rPr>
          <w:rFonts w:cstheme="minorHAnsi"/>
        </w:rPr>
        <w:t xml:space="preserve"> absent from the</w:t>
      </w:r>
      <w:r w:rsidR="00162952">
        <w:rPr>
          <w:rFonts w:cstheme="minorHAnsi"/>
        </w:rPr>
        <w:t xml:space="preserve"> proposed </w:t>
      </w:r>
      <w:r>
        <w:rPr>
          <w:rFonts w:cstheme="minorHAnsi"/>
        </w:rPr>
        <w:t>Guideline. Therefore,</w:t>
      </w:r>
      <w:r w:rsidR="00D66D12">
        <w:rPr>
          <w:rFonts w:cstheme="minorHAnsi"/>
        </w:rPr>
        <w:t xml:space="preserve"> the propos</w:t>
      </w:r>
      <w:r w:rsidR="00162952">
        <w:rPr>
          <w:rFonts w:cstheme="minorHAnsi"/>
        </w:rPr>
        <w:t>al</w:t>
      </w:r>
      <w:r w:rsidR="00D66D12">
        <w:rPr>
          <w:rFonts w:cstheme="minorHAnsi"/>
        </w:rPr>
        <w:t xml:space="preserve"> could be improved by making the </w:t>
      </w:r>
      <w:r w:rsidR="00162952">
        <w:rPr>
          <w:rFonts w:cstheme="minorHAnsi"/>
        </w:rPr>
        <w:t>G</w:t>
      </w:r>
      <w:r w:rsidR="00D66D12">
        <w:rPr>
          <w:rFonts w:cstheme="minorHAnsi"/>
        </w:rPr>
        <w:t>uideline applicable to planning approvals under the NEPDA and recognizing the NEC as an applicable planning authority.</w:t>
      </w:r>
      <w:r w:rsidR="0044076D">
        <w:rPr>
          <w:rFonts w:cstheme="minorHAnsi"/>
        </w:rPr>
        <w:t xml:space="preserve"> </w:t>
      </w:r>
      <w:r w:rsidR="00D66D12">
        <w:rPr>
          <w:rFonts w:cstheme="minorHAnsi"/>
        </w:rPr>
        <w:t xml:space="preserve">Many of the major facilities listed in Table 1 of the draft document, such as Aggregate Operations, Landfills and Dumps, are existing or are permitted in their respective land use designations, as outlined in the NEP. Such development would require a Development Permit issued by the NEC, prior to any </w:t>
      </w:r>
      <w:r w:rsidR="00D66D12">
        <w:rPr>
          <w:rFonts w:cstheme="minorHAnsi"/>
        </w:rPr>
        <w:lastRenderedPageBreak/>
        <w:t>municipal planning approval</w:t>
      </w:r>
      <w:r w:rsidR="00E13B0E">
        <w:rPr>
          <w:rFonts w:cstheme="minorHAnsi"/>
        </w:rPr>
        <w:t xml:space="preserve"> under the </w:t>
      </w:r>
      <w:r w:rsidR="00E13B0E" w:rsidRPr="00E13B0E">
        <w:rPr>
          <w:rFonts w:cstheme="minorHAnsi"/>
          <w:i/>
          <w:iCs/>
        </w:rPr>
        <w:t>Planning Act</w:t>
      </w:r>
      <w:r w:rsidR="00D66D12">
        <w:rPr>
          <w:rFonts w:cstheme="minorHAnsi"/>
        </w:rPr>
        <w:t xml:space="preserve">. Considerations with respect to land use compatibility are made at the Development Permit stage, therefore the Guideline should apply within the NEP Area. </w:t>
      </w:r>
      <w:r w:rsidR="001117E2">
        <w:rPr>
          <w:rFonts w:cstheme="minorHAnsi"/>
        </w:rPr>
        <w:t xml:space="preserve">This would be consistent with the purpose of the Guideline to </w:t>
      </w:r>
      <w:r w:rsidR="00E13B0E">
        <w:rPr>
          <w:rFonts w:cstheme="minorHAnsi"/>
        </w:rPr>
        <w:t>support</w:t>
      </w:r>
      <w:r w:rsidR="001117E2">
        <w:rPr>
          <w:rFonts w:cstheme="minorHAnsi"/>
        </w:rPr>
        <w:t xml:space="preserve"> the land use comp</w:t>
      </w:r>
      <w:r w:rsidR="00E13B0E">
        <w:rPr>
          <w:rFonts w:cstheme="minorHAnsi"/>
        </w:rPr>
        <w:t xml:space="preserve">atibility-related policies in provincial plans such as the NEP. </w:t>
      </w:r>
      <w:r w:rsidR="00D66D12">
        <w:rPr>
          <w:rFonts w:cstheme="minorHAnsi"/>
        </w:rPr>
        <w:t>Recognizing the planning authority role of the NEC, would further enhance guidance for proponents, municipalities and other planning authorities utilizing the</w:t>
      </w:r>
      <w:r w:rsidR="00162952">
        <w:rPr>
          <w:rFonts w:cstheme="minorHAnsi"/>
        </w:rPr>
        <w:t xml:space="preserve"> </w:t>
      </w:r>
      <w:r w:rsidR="00D66D12">
        <w:rPr>
          <w:rFonts w:cstheme="minorHAnsi"/>
        </w:rPr>
        <w:t>Guideline in the NEP area.</w:t>
      </w:r>
      <w:r w:rsidR="00753F08">
        <w:rPr>
          <w:rFonts w:cstheme="minorHAnsi"/>
        </w:rPr>
        <w:t xml:space="preserve"> </w:t>
      </w:r>
      <w:r w:rsidR="003556C2">
        <w:rPr>
          <w:rFonts w:cstheme="minorHAnsi"/>
        </w:rPr>
        <w:t>Additionally, t</w:t>
      </w:r>
      <w:r w:rsidR="001A3725">
        <w:rPr>
          <w:rFonts w:cstheme="minorHAnsi"/>
        </w:rPr>
        <w:t xml:space="preserve">he primary goal of the </w:t>
      </w:r>
      <w:r w:rsidR="00162952">
        <w:rPr>
          <w:rFonts w:cstheme="minorHAnsi"/>
        </w:rPr>
        <w:t>G</w:t>
      </w:r>
      <w:r w:rsidR="001A3725">
        <w:rPr>
          <w:rFonts w:cstheme="minorHAnsi"/>
        </w:rPr>
        <w:t>uideline is to support the implementation of the Provincial Policy Statement</w:t>
      </w:r>
      <w:r w:rsidR="003556C2">
        <w:rPr>
          <w:rFonts w:cstheme="minorHAnsi"/>
        </w:rPr>
        <w:t xml:space="preserve"> (PPS)</w:t>
      </w:r>
      <w:r w:rsidR="001A3725">
        <w:rPr>
          <w:rFonts w:cstheme="minorHAnsi"/>
        </w:rPr>
        <w:t>,</w:t>
      </w:r>
      <w:r w:rsidR="003556C2">
        <w:rPr>
          <w:rFonts w:cstheme="minorHAnsi"/>
        </w:rPr>
        <w:t xml:space="preserve"> however, the NEP takes precedence over the policies of the PPS</w:t>
      </w:r>
      <w:r w:rsidR="00C8302C">
        <w:rPr>
          <w:rFonts w:cstheme="minorHAnsi"/>
        </w:rPr>
        <w:t xml:space="preserve"> to the extent of any conflict. Therefore,</w:t>
      </w:r>
      <w:r w:rsidR="00162952">
        <w:rPr>
          <w:rFonts w:cstheme="minorHAnsi"/>
        </w:rPr>
        <w:t xml:space="preserve"> making the Guideline applicable to the NEP and NEC would further facilitate direction provided in the relevant provincial plans and documents. </w:t>
      </w:r>
      <w:r w:rsidR="00FD19EA">
        <w:rPr>
          <w:rFonts w:cstheme="minorHAnsi"/>
        </w:rPr>
        <w:t xml:space="preserve">It would also support municipalities in their role under the </w:t>
      </w:r>
      <w:r w:rsidR="00FD19EA">
        <w:rPr>
          <w:rFonts w:cstheme="minorHAnsi"/>
          <w:i/>
          <w:iCs/>
        </w:rPr>
        <w:t>Planning Act</w:t>
      </w:r>
      <w:r w:rsidR="00FD19EA">
        <w:rPr>
          <w:rFonts w:cstheme="minorHAnsi"/>
        </w:rPr>
        <w:t>, as outlined in Objective 7 of the NEP which is to support them in the exercise of the planning functions that they have.</w:t>
      </w:r>
      <w:r w:rsidR="00095304">
        <w:rPr>
          <w:rFonts w:cstheme="minorHAnsi"/>
        </w:rPr>
        <w:t xml:space="preserve"> Section 4 of the Guideline, Implementation and Planning Tools contemplates different planning tools, “under the Planning Act and other legislation” that could be used to assess compatibility. Development Permits under the NEPDA could be added as a planning instrument, in addition to the </w:t>
      </w:r>
      <w:r w:rsidR="00095304" w:rsidRPr="00632487">
        <w:rPr>
          <w:rFonts w:cstheme="minorHAnsi"/>
          <w:i/>
          <w:iCs/>
        </w:rPr>
        <w:t>Planning Act</w:t>
      </w:r>
      <w:r w:rsidR="00095304">
        <w:rPr>
          <w:rFonts w:cstheme="minorHAnsi"/>
        </w:rPr>
        <w:t xml:space="preserve"> tools already listed.</w:t>
      </w:r>
    </w:p>
    <w:p w14:paraId="122688A7" w14:textId="781AB99C" w:rsidR="00753F08" w:rsidRDefault="00DF6E6D" w:rsidP="00162952">
      <w:pPr>
        <w:jc w:val="both"/>
        <w:rPr>
          <w:rFonts w:cstheme="minorHAnsi"/>
        </w:rPr>
      </w:pPr>
      <w:r>
        <w:rPr>
          <w:rFonts w:cstheme="minorHAnsi"/>
        </w:rPr>
        <w:t xml:space="preserve">Furthermore, </w:t>
      </w:r>
      <w:r w:rsidR="00C87B1E">
        <w:rPr>
          <w:rFonts w:cstheme="minorHAnsi"/>
        </w:rPr>
        <w:t xml:space="preserve">acknowledging the relationship between </w:t>
      </w:r>
      <w:r w:rsidR="00466D44">
        <w:rPr>
          <w:rFonts w:cstheme="minorHAnsi"/>
        </w:rPr>
        <w:t>l</w:t>
      </w:r>
      <w:r w:rsidR="00C87B1E">
        <w:rPr>
          <w:rFonts w:cstheme="minorHAnsi"/>
        </w:rPr>
        <w:t xml:space="preserve">and </w:t>
      </w:r>
      <w:r w:rsidR="00466D44">
        <w:rPr>
          <w:rFonts w:cstheme="minorHAnsi"/>
        </w:rPr>
        <w:t>u</w:t>
      </w:r>
      <w:r w:rsidR="00C87B1E">
        <w:rPr>
          <w:rFonts w:cstheme="minorHAnsi"/>
        </w:rPr>
        <w:t xml:space="preserve">se </w:t>
      </w:r>
      <w:r w:rsidR="00466D44">
        <w:rPr>
          <w:rFonts w:cstheme="minorHAnsi"/>
        </w:rPr>
        <w:t>c</w:t>
      </w:r>
      <w:r w:rsidR="00C87B1E">
        <w:rPr>
          <w:rFonts w:cstheme="minorHAnsi"/>
        </w:rPr>
        <w:t xml:space="preserve">ompatibility and </w:t>
      </w:r>
      <w:r w:rsidR="00466D44">
        <w:rPr>
          <w:rFonts w:cstheme="minorHAnsi"/>
        </w:rPr>
        <w:t>n</w:t>
      </w:r>
      <w:r w:rsidR="00C87B1E">
        <w:rPr>
          <w:rFonts w:cstheme="minorHAnsi"/>
        </w:rPr>
        <w:t xml:space="preserve">atural </w:t>
      </w:r>
      <w:r w:rsidR="00466D44">
        <w:rPr>
          <w:rFonts w:cstheme="minorHAnsi"/>
        </w:rPr>
        <w:t>h</w:t>
      </w:r>
      <w:r w:rsidR="00C87B1E">
        <w:rPr>
          <w:rFonts w:cstheme="minorHAnsi"/>
        </w:rPr>
        <w:t>eritage</w:t>
      </w:r>
      <w:r w:rsidR="00DE0039">
        <w:rPr>
          <w:rFonts w:cstheme="minorHAnsi"/>
        </w:rPr>
        <w:t xml:space="preserve"> systems</w:t>
      </w:r>
      <w:r w:rsidR="00C87B1E">
        <w:rPr>
          <w:rFonts w:cstheme="minorHAnsi"/>
        </w:rPr>
        <w:t xml:space="preserve"> would bridge the gap between this document and</w:t>
      </w:r>
      <w:r w:rsidR="00DA7C9C">
        <w:rPr>
          <w:rFonts w:cstheme="minorHAnsi"/>
        </w:rPr>
        <w:t xml:space="preserve"> the</w:t>
      </w:r>
      <w:r w:rsidR="00A2261A">
        <w:rPr>
          <w:rFonts w:cstheme="minorHAnsi"/>
        </w:rPr>
        <w:t xml:space="preserve"> related</w:t>
      </w:r>
      <w:r w:rsidR="00DA7C9C">
        <w:rPr>
          <w:rFonts w:cstheme="minorHAnsi"/>
        </w:rPr>
        <w:t xml:space="preserve"> policies of</w:t>
      </w:r>
      <w:r w:rsidR="00C87B1E">
        <w:rPr>
          <w:rFonts w:cstheme="minorHAnsi"/>
        </w:rPr>
        <w:t xml:space="preserve"> provincial plans such as the NEP,</w:t>
      </w:r>
      <w:r w:rsidR="00DE0039">
        <w:rPr>
          <w:rFonts w:cstheme="minorHAnsi"/>
        </w:rPr>
        <w:t xml:space="preserve"> </w:t>
      </w:r>
      <w:r w:rsidR="00C87B1E">
        <w:rPr>
          <w:rFonts w:cstheme="minorHAnsi"/>
        </w:rPr>
        <w:t>the Oak Ridges Moraine Conservation Plan</w:t>
      </w:r>
      <w:r w:rsidR="00DE0039">
        <w:rPr>
          <w:rFonts w:cstheme="minorHAnsi"/>
        </w:rPr>
        <w:t xml:space="preserve"> and the Greenbelt Plan</w:t>
      </w:r>
      <w:r w:rsidR="00A2261A">
        <w:rPr>
          <w:rFonts w:cstheme="minorHAnsi"/>
        </w:rPr>
        <w:t>.</w:t>
      </w:r>
      <w:r w:rsidR="00C87B1E">
        <w:rPr>
          <w:rFonts w:cstheme="minorHAnsi"/>
        </w:rPr>
        <w:t xml:space="preserve"> This would</w:t>
      </w:r>
      <w:r w:rsidR="00DA7C9C">
        <w:rPr>
          <w:rFonts w:cstheme="minorHAnsi"/>
        </w:rPr>
        <w:t xml:space="preserve"> also</w:t>
      </w:r>
      <w:r w:rsidR="00C87B1E">
        <w:rPr>
          <w:rFonts w:cstheme="minorHAnsi"/>
        </w:rPr>
        <w:t xml:space="preserve"> be consistent </w:t>
      </w:r>
      <w:r w:rsidR="009778FA">
        <w:rPr>
          <w:rFonts w:cstheme="minorHAnsi"/>
        </w:rPr>
        <w:t xml:space="preserve">with policies 2.1.2 and 2.1.8 of the PPS, </w:t>
      </w:r>
      <w:proofErr w:type="gramStart"/>
      <w:r w:rsidR="009778FA">
        <w:rPr>
          <w:rFonts w:cstheme="minorHAnsi"/>
        </w:rPr>
        <w:t>giving consideration to</w:t>
      </w:r>
      <w:proofErr w:type="gramEnd"/>
      <w:r w:rsidR="009778FA">
        <w:rPr>
          <w:rFonts w:cstheme="minorHAnsi"/>
        </w:rPr>
        <w:t xml:space="preserve"> the impacts incompatible </w:t>
      </w:r>
      <w:r w:rsidR="00DE0039">
        <w:rPr>
          <w:rFonts w:cstheme="minorHAnsi"/>
        </w:rPr>
        <w:t>l</w:t>
      </w:r>
      <w:r w:rsidR="009778FA">
        <w:rPr>
          <w:rFonts w:cstheme="minorHAnsi"/>
        </w:rPr>
        <w:t xml:space="preserve">and </w:t>
      </w:r>
      <w:r w:rsidR="00DE0039">
        <w:rPr>
          <w:rFonts w:cstheme="minorHAnsi"/>
        </w:rPr>
        <w:t>u</w:t>
      </w:r>
      <w:r w:rsidR="009778FA">
        <w:rPr>
          <w:rFonts w:cstheme="minorHAnsi"/>
        </w:rPr>
        <w:t>se can have on natural heritage features and their ecological functions.</w:t>
      </w:r>
      <w:r w:rsidR="005E0755">
        <w:rPr>
          <w:rFonts w:cstheme="minorHAnsi"/>
        </w:rPr>
        <w:t xml:space="preserve"> Documents such as the </w:t>
      </w:r>
      <w:r w:rsidR="005E0755" w:rsidRPr="005E0755">
        <w:rPr>
          <w:rFonts w:cstheme="minorHAnsi"/>
        </w:rPr>
        <w:t>Natural Heritage Reference Manual</w:t>
      </w:r>
      <w:r w:rsidR="005E0755">
        <w:rPr>
          <w:rFonts w:cstheme="minorHAnsi"/>
        </w:rPr>
        <w:t xml:space="preserve"> for Natural Heritage Policies of the PPS, 2005, should also be referenced. This document, created by the Ministry of Natural Resources and Forestry (MNRF),</w:t>
      </w:r>
      <w:r w:rsidR="0058025E">
        <w:rPr>
          <w:rFonts w:cstheme="minorHAnsi"/>
        </w:rPr>
        <w:t xml:space="preserve"> provides guidance on adjacent lands width for considering potential negative impacts on PPS natural heritage</w:t>
      </w:r>
      <w:r w:rsidR="00466D44">
        <w:rPr>
          <w:rFonts w:cstheme="minorHAnsi"/>
        </w:rPr>
        <w:t xml:space="preserve"> features </w:t>
      </w:r>
      <w:r w:rsidR="0058025E">
        <w:rPr>
          <w:rFonts w:cstheme="minorHAnsi"/>
        </w:rPr>
        <w:t>such</w:t>
      </w:r>
      <w:r w:rsidR="00466D44">
        <w:rPr>
          <w:rFonts w:cstheme="minorHAnsi"/>
        </w:rPr>
        <w:t xml:space="preserve"> as </w:t>
      </w:r>
      <w:r w:rsidR="0058025E">
        <w:rPr>
          <w:rFonts w:cstheme="minorHAnsi"/>
        </w:rPr>
        <w:t xml:space="preserve">significant wetlands and woodlands. </w:t>
      </w:r>
      <w:r w:rsidR="00FC20BE">
        <w:rPr>
          <w:rFonts w:cstheme="minorHAnsi"/>
        </w:rPr>
        <w:t xml:space="preserve">These recommended widths would work in unison with the Area of Influence (AOI) and Minimum Separation Distance (MSD) recommendations provided in the </w:t>
      </w:r>
      <w:r w:rsidR="006410C6">
        <w:rPr>
          <w:rFonts w:cstheme="minorHAnsi"/>
        </w:rPr>
        <w:t>Guideline, when</w:t>
      </w:r>
      <w:r w:rsidR="00FC20BE">
        <w:rPr>
          <w:rFonts w:cstheme="minorHAnsi"/>
        </w:rPr>
        <w:t xml:space="preserve"> conducting Environmental Impact Studies (EIS) and Compatibility Studies. T</w:t>
      </w:r>
      <w:r w:rsidR="00466D44">
        <w:rPr>
          <w:rFonts w:cstheme="minorHAnsi"/>
        </w:rPr>
        <w:t>his would be consistent with the Guideline in considering adverse effects, which in its definition</w:t>
      </w:r>
      <w:r w:rsidR="00E464D1">
        <w:rPr>
          <w:rFonts w:cstheme="minorHAnsi"/>
        </w:rPr>
        <w:t xml:space="preserve"> includes, “the impairment of the quality of the natural environment for any use that can be made of it”</w:t>
      </w:r>
      <w:r w:rsidR="00DE0039">
        <w:rPr>
          <w:rFonts w:cstheme="minorHAnsi"/>
        </w:rPr>
        <w:t xml:space="preserve">. </w:t>
      </w:r>
      <w:r w:rsidR="0058025E">
        <w:rPr>
          <w:rFonts w:cstheme="minorHAnsi"/>
        </w:rPr>
        <w:t>This recommendation for the proposed</w:t>
      </w:r>
      <w:r w:rsidR="00DE0039">
        <w:rPr>
          <w:rFonts w:cstheme="minorHAnsi"/>
        </w:rPr>
        <w:t xml:space="preserve"> </w:t>
      </w:r>
      <w:r w:rsidR="0058025E">
        <w:rPr>
          <w:rFonts w:cstheme="minorHAnsi"/>
        </w:rPr>
        <w:t xml:space="preserve">Guideline would further enhance it as a document for good environmental planning.  </w:t>
      </w:r>
      <w:r w:rsidR="005E0755">
        <w:rPr>
          <w:rFonts w:cstheme="minorHAnsi"/>
        </w:rPr>
        <w:t xml:space="preserve"> </w:t>
      </w:r>
    </w:p>
    <w:p w14:paraId="34CD476C" w14:textId="77777777" w:rsidR="00A80E89" w:rsidRDefault="000364F3" w:rsidP="00162952">
      <w:pPr>
        <w:jc w:val="both"/>
        <w:rPr>
          <w:rFonts w:cstheme="minorHAnsi"/>
        </w:rPr>
      </w:pPr>
      <w:r w:rsidRPr="009155F8">
        <w:rPr>
          <w:rFonts w:cstheme="minorHAnsi"/>
        </w:rPr>
        <w:t>These comments were presented to the Niagara Escarpment Commission</w:t>
      </w:r>
      <w:r w:rsidR="003F2B90">
        <w:rPr>
          <w:rFonts w:cstheme="minorHAnsi"/>
        </w:rPr>
        <w:t xml:space="preserve"> on June 17, 2021 and were endorsed by the Commission.</w:t>
      </w:r>
      <w:r w:rsidR="00A80E89">
        <w:rPr>
          <w:rFonts w:cstheme="minorHAnsi"/>
        </w:rPr>
        <w:t xml:space="preserve"> </w:t>
      </w:r>
      <w:r>
        <w:rPr>
          <w:rFonts w:cstheme="minorHAnsi"/>
        </w:rPr>
        <w:t>We appreciate the opportunity to comment on this proposal. Should you require additional information, please contact</w:t>
      </w:r>
      <w:r w:rsidR="003F2B90">
        <w:rPr>
          <w:rFonts w:cstheme="minorHAnsi"/>
        </w:rPr>
        <w:t xml:space="preserve"> Nancy Mott, Senior Strategic Advisor at 289-839-0106 or </w:t>
      </w:r>
      <w:hyperlink r:id="rId7" w:history="1">
        <w:r w:rsidR="00A80E89" w:rsidRPr="00E15587">
          <w:rPr>
            <w:rStyle w:val="Hyperlink"/>
            <w:rFonts w:cstheme="minorHAnsi"/>
          </w:rPr>
          <w:t>nancy.mott@ontario.ca</w:t>
        </w:r>
      </w:hyperlink>
      <w:r w:rsidR="003F2B90">
        <w:rPr>
          <w:rFonts w:cstheme="minorHAnsi"/>
        </w:rPr>
        <w:t>.</w:t>
      </w:r>
    </w:p>
    <w:p w14:paraId="3CD20DDF" w14:textId="77777777" w:rsidR="00A80E89" w:rsidRDefault="00A80E89" w:rsidP="00162952">
      <w:pPr>
        <w:jc w:val="both"/>
        <w:rPr>
          <w:rFonts w:cstheme="minorHAnsi"/>
        </w:rPr>
      </w:pPr>
    </w:p>
    <w:p w14:paraId="7201613C" w14:textId="4239C1F1" w:rsidR="000364F3" w:rsidRDefault="000364F3" w:rsidP="00162952">
      <w:pPr>
        <w:jc w:val="both"/>
        <w:rPr>
          <w:rFonts w:cstheme="minorHAnsi"/>
        </w:rPr>
      </w:pPr>
      <w:r>
        <w:rPr>
          <w:rFonts w:cstheme="minorHAnsi"/>
        </w:rPr>
        <w:lastRenderedPageBreak/>
        <w:t xml:space="preserve">Yours truly, </w:t>
      </w:r>
    </w:p>
    <w:p w14:paraId="7D7EB7AB" w14:textId="01590FF0" w:rsidR="003F2B90" w:rsidRDefault="003F2B90" w:rsidP="00162952">
      <w:pPr>
        <w:jc w:val="both"/>
        <w:rPr>
          <w:rFonts w:cstheme="minorHAnsi"/>
        </w:rPr>
      </w:pPr>
    </w:p>
    <w:p w14:paraId="50C5248E" w14:textId="7872E83F" w:rsidR="003F2B90" w:rsidRDefault="003F2B90" w:rsidP="00632487">
      <w:pPr>
        <w:spacing w:after="0" w:line="240" w:lineRule="auto"/>
        <w:jc w:val="both"/>
        <w:rPr>
          <w:rFonts w:cstheme="minorHAnsi"/>
        </w:rPr>
      </w:pPr>
      <w:r>
        <w:rPr>
          <w:rFonts w:cstheme="minorHAnsi"/>
        </w:rPr>
        <w:t>Debbie Ramsay, MCIP, RPP</w:t>
      </w:r>
    </w:p>
    <w:p w14:paraId="6B449F29" w14:textId="20423CAA" w:rsidR="003F2B90" w:rsidRDefault="003F2B90" w:rsidP="00632487">
      <w:pPr>
        <w:spacing w:after="0" w:line="240" w:lineRule="auto"/>
        <w:jc w:val="both"/>
        <w:rPr>
          <w:rFonts w:cstheme="minorHAnsi"/>
        </w:rPr>
      </w:pPr>
      <w:r>
        <w:rPr>
          <w:rFonts w:cstheme="minorHAnsi"/>
        </w:rPr>
        <w:t xml:space="preserve">Director </w:t>
      </w:r>
    </w:p>
    <w:p w14:paraId="7769F009" w14:textId="50048951" w:rsidR="003F2B90" w:rsidRDefault="003F2B90" w:rsidP="00632487">
      <w:pPr>
        <w:spacing w:after="0" w:line="240" w:lineRule="auto"/>
        <w:jc w:val="both"/>
        <w:rPr>
          <w:rFonts w:cstheme="minorHAnsi"/>
        </w:rPr>
      </w:pPr>
      <w:r>
        <w:rPr>
          <w:rFonts w:cstheme="minorHAnsi"/>
        </w:rPr>
        <w:t>Niagara Escarpment Commission</w:t>
      </w:r>
    </w:p>
    <w:p w14:paraId="0DFCEC01" w14:textId="77777777" w:rsidR="001436A3" w:rsidRDefault="001436A3" w:rsidP="00162952">
      <w:pPr>
        <w:jc w:val="both"/>
        <w:rPr>
          <w:rFonts w:cstheme="minorHAnsi"/>
        </w:rPr>
      </w:pPr>
    </w:p>
    <w:p w14:paraId="5914B680" w14:textId="5E4B68B6" w:rsidR="001436A3" w:rsidRDefault="001436A3" w:rsidP="00162952">
      <w:pPr>
        <w:jc w:val="both"/>
        <w:rPr>
          <w:rFonts w:cstheme="minorHAnsi"/>
        </w:rPr>
      </w:pPr>
      <w:r>
        <w:rPr>
          <w:rFonts w:cstheme="minorHAnsi"/>
        </w:rPr>
        <w:t>NM/RS</w:t>
      </w:r>
    </w:p>
    <w:p w14:paraId="792A4C93" w14:textId="77777777" w:rsidR="009155F8" w:rsidRPr="00C314F8" w:rsidRDefault="009155F8" w:rsidP="00F61F85">
      <w:pPr>
        <w:rPr>
          <w:rFonts w:cstheme="minorHAnsi"/>
        </w:rPr>
      </w:pPr>
    </w:p>
    <w:sectPr w:rsidR="009155F8" w:rsidRPr="00C314F8" w:rsidSect="007260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0E1F" w14:textId="77777777" w:rsidR="00044389" w:rsidRDefault="00044389" w:rsidP="00F72078">
      <w:pPr>
        <w:spacing w:after="0" w:line="240" w:lineRule="auto"/>
      </w:pPr>
      <w:r>
        <w:separator/>
      </w:r>
    </w:p>
  </w:endnote>
  <w:endnote w:type="continuationSeparator" w:id="0">
    <w:p w14:paraId="05164E4B" w14:textId="77777777" w:rsidR="00044389" w:rsidRDefault="00044389"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C891" w14:textId="77777777" w:rsidR="00002AA8" w:rsidRDefault="00002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962751"/>
      <w:docPartObj>
        <w:docPartGallery w:val="Page Numbers (Bottom of Page)"/>
        <w:docPartUnique/>
      </w:docPartObj>
    </w:sdtPr>
    <w:sdtEndPr>
      <w:rPr>
        <w:noProof/>
      </w:rPr>
    </w:sdtEndPr>
    <w:sdtContent>
      <w:p w14:paraId="5E248F16" w14:textId="6FA14B9B" w:rsidR="001436A3" w:rsidRDefault="001436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7063E" w14:textId="77777777" w:rsidR="0058025E" w:rsidRDefault="0058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E449" w14:textId="77777777" w:rsidR="00002AA8" w:rsidRDefault="0000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0090" w14:textId="77777777" w:rsidR="00044389" w:rsidRDefault="00044389" w:rsidP="00F72078">
      <w:pPr>
        <w:spacing w:after="0" w:line="240" w:lineRule="auto"/>
      </w:pPr>
      <w:r>
        <w:separator/>
      </w:r>
    </w:p>
  </w:footnote>
  <w:footnote w:type="continuationSeparator" w:id="0">
    <w:p w14:paraId="0475D078" w14:textId="77777777" w:rsidR="00044389" w:rsidRDefault="00044389"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4284" w14:textId="77777777" w:rsidR="00002AA8" w:rsidRDefault="00002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0F32" w14:textId="77777777" w:rsidR="00002AA8" w:rsidRDefault="00002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775C" w14:textId="77777777" w:rsidR="00002AA8" w:rsidRPr="0035152F" w:rsidRDefault="00002AA8" w:rsidP="00002AA8">
    <w:pPr>
      <w:pStyle w:val="Heading1"/>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64384" behindDoc="1" locked="0" layoutInCell="1" allowOverlap="1" wp14:anchorId="19177AD4" wp14:editId="34CFD91A">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65C7E381" w14:textId="77777777" w:rsidR="00002AA8" w:rsidRDefault="00002AA8" w:rsidP="00002AA8">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406FB8F6" w14:textId="77777777" w:rsidR="00002AA8" w:rsidRPr="0035152F" w:rsidRDefault="00002AA8" w:rsidP="00002AA8">
    <w:pPr>
      <w:pStyle w:val="Header"/>
      <w:rPr>
        <w:rFonts w:cstheme="minorHAnsi"/>
        <w:szCs w:val="24"/>
      </w:rPr>
    </w:pPr>
  </w:p>
  <w:p w14:paraId="18FEFFC1" w14:textId="77777777" w:rsidR="00E16EFC" w:rsidRPr="00002AA8" w:rsidRDefault="00E16EFC" w:rsidP="00002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C6"/>
    <w:rsid w:val="00002AA8"/>
    <w:rsid w:val="000364F3"/>
    <w:rsid w:val="00044389"/>
    <w:rsid w:val="00065751"/>
    <w:rsid w:val="00095304"/>
    <w:rsid w:val="000A0119"/>
    <w:rsid w:val="000A05FB"/>
    <w:rsid w:val="000A1A28"/>
    <w:rsid w:val="000A3B84"/>
    <w:rsid w:val="000D3A0A"/>
    <w:rsid w:val="00110437"/>
    <w:rsid w:val="001117E2"/>
    <w:rsid w:val="001436A3"/>
    <w:rsid w:val="00162952"/>
    <w:rsid w:val="00175000"/>
    <w:rsid w:val="001A3725"/>
    <w:rsid w:val="001C37B4"/>
    <w:rsid w:val="001F129E"/>
    <w:rsid w:val="00203E14"/>
    <w:rsid w:val="002075EC"/>
    <w:rsid w:val="00225BE4"/>
    <w:rsid w:val="0023516C"/>
    <w:rsid w:val="00251112"/>
    <w:rsid w:val="00273059"/>
    <w:rsid w:val="00294861"/>
    <w:rsid w:val="002A1104"/>
    <w:rsid w:val="002D1AEF"/>
    <w:rsid w:val="002E6FF6"/>
    <w:rsid w:val="00304308"/>
    <w:rsid w:val="00317F1F"/>
    <w:rsid w:val="003556C2"/>
    <w:rsid w:val="0036413B"/>
    <w:rsid w:val="00366FF1"/>
    <w:rsid w:val="003F2B90"/>
    <w:rsid w:val="0040146E"/>
    <w:rsid w:val="00404C1A"/>
    <w:rsid w:val="0044076D"/>
    <w:rsid w:val="00466D44"/>
    <w:rsid w:val="00487378"/>
    <w:rsid w:val="00487ED5"/>
    <w:rsid w:val="004A2238"/>
    <w:rsid w:val="004A392D"/>
    <w:rsid w:val="004A5DB3"/>
    <w:rsid w:val="004B347D"/>
    <w:rsid w:val="004B69F7"/>
    <w:rsid w:val="004C1C81"/>
    <w:rsid w:val="004E6398"/>
    <w:rsid w:val="004F1B03"/>
    <w:rsid w:val="004F20C3"/>
    <w:rsid w:val="0050145F"/>
    <w:rsid w:val="005342BF"/>
    <w:rsid w:val="0057735C"/>
    <w:rsid w:val="0058025E"/>
    <w:rsid w:val="00593D1C"/>
    <w:rsid w:val="005E0755"/>
    <w:rsid w:val="00624B02"/>
    <w:rsid w:val="00632487"/>
    <w:rsid w:val="006410C6"/>
    <w:rsid w:val="00666886"/>
    <w:rsid w:val="00675983"/>
    <w:rsid w:val="00695E04"/>
    <w:rsid w:val="006C7751"/>
    <w:rsid w:val="006D72AA"/>
    <w:rsid w:val="00726084"/>
    <w:rsid w:val="00753F08"/>
    <w:rsid w:val="00767151"/>
    <w:rsid w:val="007707B1"/>
    <w:rsid w:val="00787F10"/>
    <w:rsid w:val="00794C32"/>
    <w:rsid w:val="007A22CA"/>
    <w:rsid w:val="007D6DDD"/>
    <w:rsid w:val="00832A10"/>
    <w:rsid w:val="008C1CEC"/>
    <w:rsid w:val="009155F8"/>
    <w:rsid w:val="009471BD"/>
    <w:rsid w:val="009778FA"/>
    <w:rsid w:val="0098125E"/>
    <w:rsid w:val="0098190C"/>
    <w:rsid w:val="009B1D63"/>
    <w:rsid w:val="009B65DE"/>
    <w:rsid w:val="009C6DC6"/>
    <w:rsid w:val="00A2261A"/>
    <w:rsid w:val="00A4736E"/>
    <w:rsid w:val="00A80E89"/>
    <w:rsid w:val="00A963FC"/>
    <w:rsid w:val="00AD71CE"/>
    <w:rsid w:val="00AD756F"/>
    <w:rsid w:val="00B524FF"/>
    <w:rsid w:val="00B93223"/>
    <w:rsid w:val="00C029AC"/>
    <w:rsid w:val="00C2155E"/>
    <w:rsid w:val="00C314F8"/>
    <w:rsid w:val="00C442F5"/>
    <w:rsid w:val="00C5526F"/>
    <w:rsid w:val="00C641B2"/>
    <w:rsid w:val="00C8302C"/>
    <w:rsid w:val="00C870A2"/>
    <w:rsid w:val="00C87B1E"/>
    <w:rsid w:val="00C93AB7"/>
    <w:rsid w:val="00CC034D"/>
    <w:rsid w:val="00CC6CFB"/>
    <w:rsid w:val="00D03380"/>
    <w:rsid w:val="00D651C8"/>
    <w:rsid w:val="00D66D12"/>
    <w:rsid w:val="00D83F89"/>
    <w:rsid w:val="00D851A4"/>
    <w:rsid w:val="00DA3F64"/>
    <w:rsid w:val="00DA6638"/>
    <w:rsid w:val="00DA7C9C"/>
    <w:rsid w:val="00DE0039"/>
    <w:rsid w:val="00DF6E6D"/>
    <w:rsid w:val="00E12831"/>
    <w:rsid w:val="00E13B0E"/>
    <w:rsid w:val="00E16EFC"/>
    <w:rsid w:val="00E241F9"/>
    <w:rsid w:val="00E25B54"/>
    <w:rsid w:val="00E464D1"/>
    <w:rsid w:val="00E465C6"/>
    <w:rsid w:val="00E57CB5"/>
    <w:rsid w:val="00E61F54"/>
    <w:rsid w:val="00E62EEF"/>
    <w:rsid w:val="00EF0983"/>
    <w:rsid w:val="00F046A5"/>
    <w:rsid w:val="00F17B57"/>
    <w:rsid w:val="00F61F85"/>
    <w:rsid w:val="00F6292E"/>
    <w:rsid w:val="00F72078"/>
    <w:rsid w:val="00F85186"/>
    <w:rsid w:val="00FA62DB"/>
    <w:rsid w:val="00FB11EB"/>
    <w:rsid w:val="00FC20BE"/>
    <w:rsid w:val="00FD19EA"/>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35345"/>
  <w15:docId w15:val="{9C106D4A-58E1-43E4-BAF2-5D316C23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6E"/>
    <w:rPr>
      <w:rFonts w:ascii="Arial" w:eastAsia="Arial" w:hAnsi="Arial" w:cs="Times New Roman"/>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rsid w:val="00F85186"/>
    <w:pPr>
      <w:spacing w:before="200" w:after="0"/>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3F2B90"/>
    <w:rPr>
      <w:sz w:val="16"/>
      <w:szCs w:val="16"/>
    </w:rPr>
  </w:style>
  <w:style w:type="paragraph" w:styleId="CommentText">
    <w:name w:val="annotation text"/>
    <w:basedOn w:val="Normal"/>
    <w:link w:val="CommentTextChar"/>
    <w:uiPriority w:val="99"/>
    <w:semiHidden/>
    <w:unhideWhenUsed/>
    <w:rsid w:val="003F2B90"/>
    <w:pPr>
      <w:spacing w:line="240" w:lineRule="auto"/>
    </w:pPr>
    <w:rPr>
      <w:sz w:val="20"/>
      <w:szCs w:val="20"/>
    </w:rPr>
  </w:style>
  <w:style w:type="character" w:customStyle="1" w:styleId="CommentTextChar">
    <w:name w:val="Comment Text Char"/>
    <w:basedOn w:val="DefaultParagraphFont"/>
    <w:link w:val="CommentText"/>
    <w:uiPriority w:val="99"/>
    <w:semiHidden/>
    <w:rsid w:val="003F2B90"/>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F2B90"/>
    <w:rPr>
      <w:b/>
      <w:bCs/>
    </w:rPr>
  </w:style>
  <w:style w:type="character" w:customStyle="1" w:styleId="CommentSubjectChar">
    <w:name w:val="Comment Subject Char"/>
    <w:basedOn w:val="CommentTextChar"/>
    <w:link w:val="CommentSubject"/>
    <w:uiPriority w:val="99"/>
    <w:semiHidden/>
    <w:rsid w:val="003F2B90"/>
    <w:rPr>
      <w:rFonts w:ascii="Arial" w:eastAsia="Arial" w:hAnsi="Arial" w:cs="Times New Roman"/>
      <w:b/>
      <w:bCs/>
      <w:sz w:val="20"/>
      <w:szCs w:val="20"/>
    </w:rPr>
  </w:style>
  <w:style w:type="paragraph" w:styleId="Revision">
    <w:name w:val="Revision"/>
    <w:hidden/>
    <w:uiPriority w:val="99"/>
    <w:semiHidden/>
    <w:rsid w:val="003F2B90"/>
    <w:pPr>
      <w:spacing w:after="0" w:line="240" w:lineRule="auto"/>
    </w:pPr>
    <w:rPr>
      <w:rFonts w:ascii="Arial" w:eastAsia="Arial" w:hAnsi="Arial" w:cs="Times New Roman"/>
      <w:sz w:val="24"/>
    </w:rPr>
  </w:style>
  <w:style w:type="character" w:styleId="Hyperlink">
    <w:name w:val="Hyperlink"/>
    <w:basedOn w:val="DefaultParagraphFont"/>
    <w:uiPriority w:val="99"/>
    <w:unhideWhenUsed/>
    <w:rsid w:val="00A80E89"/>
    <w:rPr>
      <w:color w:val="5F5F5F" w:themeColor="hyperlink"/>
      <w:u w:val="single"/>
    </w:rPr>
  </w:style>
  <w:style w:type="character" w:styleId="UnresolvedMention">
    <w:name w:val="Unresolved Mention"/>
    <w:basedOn w:val="DefaultParagraphFont"/>
    <w:uiPriority w:val="99"/>
    <w:semiHidden/>
    <w:unhideWhenUsed/>
    <w:rsid w:val="00A8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9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ncy.mott@ontario.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dafaRa\OneDrive%20-%20Government%20of%20Ontario\Desktop\nec_georgetown_letterhead_20170410.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9C06-94AF-46C9-ADC7-043DAA27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nec_georgetown_letterhead_20170410.dotx</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Sadafal, Rameez (MNRF)</dc:creator>
  <cp:lastModifiedBy>Olah, Jennifer (MNRF)</cp:lastModifiedBy>
  <cp:revision>2</cp:revision>
  <dcterms:created xsi:type="dcterms:W3CDTF">2021-06-09T14:42:00Z</dcterms:created>
  <dcterms:modified xsi:type="dcterms:W3CDTF">2021-06-09T14:42:00Z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Nancy.Mott@ontario.ca</vt:lpwstr>
  </property>
  <property fmtid="{D5CDD505-2E9C-101B-9397-08002B2CF9AE}" pid="5" name="MSIP_Label_034a106e-6316-442c-ad35-738afd673d2b_SetDate">
    <vt:lpwstr>2020-08-10T20:10:18.9445562Z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