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6E9DC049" w:rsidR="00997DD8" w:rsidRDefault="002F396D" w:rsidP="00E70073">
      <w:pPr>
        <w:rPr>
          <w:rFonts w:cstheme="minorHAnsi"/>
          <w:lang w:val="en-US"/>
        </w:rPr>
      </w:pPr>
      <w:r>
        <w:rPr>
          <w:rFonts w:cstheme="minorHAnsi"/>
          <w:lang w:val="en-US"/>
        </w:rPr>
        <w:t>September 15, 2021</w:t>
      </w:r>
    </w:p>
    <w:p w14:paraId="2F32C8F0" w14:textId="5DE67E0A" w:rsidR="00554131" w:rsidRPr="0035152F" w:rsidRDefault="00D420CF" w:rsidP="00E70073">
      <w:pPr>
        <w:pStyle w:val="Heading1"/>
      </w:pPr>
      <w:r>
        <w:t xml:space="preserve">C1: </w:t>
      </w:r>
      <w:r w:rsidR="00554131" w:rsidRPr="0035152F">
        <w:t>STAFF REPORT</w:t>
      </w:r>
    </w:p>
    <w:p w14:paraId="4A535882" w14:textId="77777777" w:rsidR="00554131" w:rsidRPr="00554131" w:rsidRDefault="00554131" w:rsidP="00E70073">
      <w:pPr>
        <w:spacing w:after="0"/>
        <w:rPr>
          <w:rFonts w:ascii="Arial" w:eastAsia="Times New Roman" w:hAnsi="Arial" w:cs="Arial"/>
          <w:b/>
          <w:szCs w:val="24"/>
        </w:rPr>
      </w:pPr>
    </w:p>
    <w:p w14:paraId="50BE34DE" w14:textId="753E3040" w:rsidR="00554131" w:rsidRPr="0035152F" w:rsidRDefault="000C1590" w:rsidP="00152F05">
      <w:pPr>
        <w:pStyle w:val="Heading2"/>
        <w:spacing w:line="276" w:lineRule="auto"/>
        <w:jc w:val="center"/>
      </w:pPr>
      <w:r>
        <w:t>Niagara Escarpment Plan Agricultural Policies</w:t>
      </w:r>
    </w:p>
    <w:p w14:paraId="73372E40" w14:textId="77777777" w:rsidR="00554131" w:rsidRDefault="00554131" w:rsidP="00152F05">
      <w:pPr>
        <w:spacing w:after="0"/>
        <w:jc w:val="center"/>
        <w:rPr>
          <w:rFonts w:ascii="Arial" w:eastAsia="Times New Roman" w:hAnsi="Arial" w:cs="Arial"/>
          <w:b/>
          <w:szCs w:val="24"/>
        </w:rPr>
      </w:pPr>
    </w:p>
    <w:p w14:paraId="7A774B57" w14:textId="21A7B541" w:rsidR="00554131" w:rsidRPr="00554131" w:rsidRDefault="00DA4D92" w:rsidP="00152F05">
      <w:pPr>
        <w:pStyle w:val="Heading3"/>
        <w:jc w:val="center"/>
      </w:pPr>
      <w:r>
        <w:rPr>
          <w:noProof/>
        </w:rPr>
        <w:t>Information and Discussion Report</w:t>
      </w:r>
    </w:p>
    <w:p w14:paraId="7B712062" w14:textId="62165307" w:rsidR="0035152F" w:rsidRDefault="0035152F" w:rsidP="00E70073">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5E70D"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0F70DD98" w14:textId="6A6DD267" w:rsidR="0035152F" w:rsidRPr="0035152F" w:rsidRDefault="003009E3" w:rsidP="00E70073">
      <w:pPr>
        <w:pStyle w:val="Heading3"/>
      </w:pPr>
      <w:r>
        <w:t>CONTEXT</w:t>
      </w:r>
      <w:r w:rsidR="0035152F" w:rsidRPr="0035152F">
        <w:t>:</w:t>
      </w:r>
      <w:r w:rsidR="0035152F">
        <w:t xml:space="preserve"> </w:t>
      </w:r>
    </w:p>
    <w:p w14:paraId="3EBAEA61" w14:textId="66C52890" w:rsidR="001603D9" w:rsidRDefault="00F84FA3" w:rsidP="00E70073">
      <w:pPr>
        <w:spacing w:after="0"/>
        <w:rPr>
          <w:rFonts w:ascii="Arial" w:eastAsia="Times New Roman" w:hAnsi="Arial" w:cs="Arial"/>
          <w:szCs w:val="24"/>
        </w:rPr>
      </w:pPr>
      <w:r>
        <w:rPr>
          <w:rFonts w:ascii="Arial" w:eastAsia="Times New Roman" w:hAnsi="Arial" w:cs="Arial"/>
          <w:szCs w:val="24"/>
        </w:rPr>
        <w:t>The 2015 Coordinated Plan Review resulted in new agricultural policies for t</w:t>
      </w:r>
      <w:r w:rsidR="00F16F69">
        <w:rPr>
          <w:rFonts w:ascii="Arial" w:eastAsia="Times New Roman" w:hAnsi="Arial" w:cs="Arial"/>
          <w:szCs w:val="24"/>
        </w:rPr>
        <w:t xml:space="preserve">he </w:t>
      </w:r>
      <w:r w:rsidR="00F279E7">
        <w:rPr>
          <w:rFonts w:ascii="Arial" w:eastAsia="Times New Roman" w:hAnsi="Arial" w:cs="Arial"/>
          <w:szCs w:val="24"/>
        </w:rPr>
        <w:t>Niagara Escarpment Plan (NEP)</w:t>
      </w:r>
      <w:r w:rsidR="00514802">
        <w:rPr>
          <w:rFonts w:ascii="Arial" w:eastAsia="Times New Roman" w:hAnsi="Arial" w:cs="Arial"/>
          <w:szCs w:val="24"/>
        </w:rPr>
        <w:t>.  The Niagara Escarpment Commission (NEC) has expressed concern that the policies to not provide adequate support for the agricultur</w:t>
      </w:r>
      <w:r w:rsidR="00F305D7">
        <w:rPr>
          <w:rFonts w:ascii="Arial" w:eastAsia="Times New Roman" w:hAnsi="Arial" w:cs="Arial"/>
          <w:szCs w:val="24"/>
        </w:rPr>
        <w:t xml:space="preserve">e sector.  </w:t>
      </w:r>
      <w:r w:rsidR="001603D9">
        <w:rPr>
          <w:rFonts w:ascii="Arial" w:eastAsia="Times New Roman" w:hAnsi="Arial" w:cs="Arial"/>
          <w:szCs w:val="24"/>
        </w:rPr>
        <w:t xml:space="preserve">Several Commissioners requested </w:t>
      </w:r>
      <w:r w:rsidR="00B04CDC">
        <w:rPr>
          <w:rFonts w:ascii="Arial" w:eastAsia="Times New Roman" w:hAnsi="Arial" w:cs="Arial"/>
          <w:szCs w:val="24"/>
        </w:rPr>
        <w:t xml:space="preserve">an opportunity to </w:t>
      </w:r>
      <w:r w:rsidR="001603D9">
        <w:rPr>
          <w:rFonts w:ascii="Arial" w:eastAsia="Times New Roman" w:hAnsi="Arial" w:cs="Arial"/>
          <w:szCs w:val="24"/>
        </w:rPr>
        <w:t xml:space="preserve">discuss </w:t>
      </w:r>
      <w:r w:rsidR="009D4126">
        <w:rPr>
          <w:rFonts w:ascii="Arial" w:eastAsia="Times New Roman" w:hAnsi="Arial" w:cs="Arial"/>
          <w:szCs w:val="24"/>
        </w:rPr>
        <w:t>these concerns.</w:t>
      </w:r>
    </w:p>
    <w:p w14:paraId="5AA2DD27" w14:textId="77777777" w:rsidR="001603D9" w:rsidRDefault="001603D9" w:rsidP="00E70073">
      <w:pPr>
        <w:spacing w:after="0"/>
        <w:rPr>
          <w:rFonts w:ascii="Arial" w:eastAsia="Times New Roman" w:hAnsi="Arial" w:cs="Arial"/>
          <w:szCs w:val="24"/>
        </w:rPr>
      </w:pPr>
    </w:p>
    <w:p w14:paraId="19B1F402" w14:textId="709A8BA2" w:rsidR="00293E99" w:rsidRDefault="00F305D7" w:rsidP="00E70073">
      <w:pPr>
        <w:spacing w:after="0"/>
        <w:rPr>
          <w:rFonts w:ascii="Arial" w:eastAsia="Times New Roman" w:hAnsi="Arial" w:cs="Arial"/>
          <w:szCs w:val="24"/>
        </w:rPr>
      </w:pPr>
      <w:r>
        <w:rPr>
          <w:rFonts w:ascii="Arial" w:eastAsia="Times New Roman" w:hAnsi="Arial" w:cs="Arial"/>
          <w:szCs w:val="24"/>
        </w:rPr>
        <w:t xml:space="preserve">This </w:t>
      </w:r>
      <w:r w:rsidR="001C1E05">
        <w:rPr>
          <w:rFonts w:ascii="Arial" w:eastAsia="Times New Roman" w:hAnsi="Arial" w:cs="Arial"/>
          <w:szCs w:val="24"/>
        </w:rPr>
        <w:t>r</w:t>
      </w:r>
      <w:r>
        <w:rPr>
          <w:rFonts w:ascii="Arial" w:eastAsia="Times New Roman" w:hAnsi="Arial" w:cs="Arial"/>
          <w:szCs w:val="24"/>
        </w:rPr>
        <w:t>eport</w:t>
      </w:r>
      <w:r w:rsidR="00293E99">
        <w:rPr>
          <w:rFonts w:ascii="Arial" w:eastAsia="Times New Roman" w:hAnsi="Arial" w:cs="Arial"/>
          <w:szCs w:val="24"/>
        </w:rPr>
        <w:t>:</w:t>
      </w:r>
    </w:p>
    <w:p w14:paraId="7810C114" w14:textId="0F4D9C88" w:rsidR="00A96C5C" w:rsidRDefault="00A07DE1" w:rsidP="00A96C5C">
      <w:pPr>
        <w:pStyle w:val="ListParagraph"/>
        <w:numPr>
          <w:ilvl w:val="0"/>
          <w:numId w:val="11"/>
        </w:numPr>
        <w:spacing w:after="0"/>
        <w:rPr>
          <w:rFonts w:ascii="Arial" w:eastAsia="Times New Roman" w:hAnsi="Arial" w:cs="Arial"/>
          <w:noProof/>
          <w:szCs w:val="24"/>
        </w:rPr>
      </w:pPr>
      <w:r>
        <w:rPr>
          <w:rFonts w:ascii="Arial" w:eastAsia="Times New Roman" w:hAnsi="Arial" w:cs="Arial"/>
          <w:szCs w:val="24"/>
        </w:rPr>
        <w:t xml:space="preserve">provides </w:t>
      </w:r>
      <w:r w:rsidR="00F305D7" w:rsidRPr="00A96C5C">
        <w:rPr>
          <w:rFonts w:ascii="Arial" w:eastAsia="Times New Roman" w:hAnsi="Arial" w:cs="Arial"/>
          <w:szCs w:val="24"/>
        </w:rPr>
        <w:t>a synopsis of the background</w:t>
      </w:r>
      <w:r w:rsidR="00323C8E">
        <w:rPr>
          <w:rFonts w:ascii="Arial" w:eastAsia="Times New Roman" w:hAnsi="Arial" w:cs="Arial"/>
          <w:szCs w:val="24"/>
        </w:rPr>
        <w:t xml:space="preserve"> and agricultural policies</w:t>
      </w:r>
      <w:r w:rsidR="00E53000" w:rsidRPr="00A96C5C">
        <w:rPr>
          <w:rFonts w:ascii="Arial" w:eastAsia="Times New Roman" w:hAnsi="Arial" w:cs="Arial"/>
          <w:szCs w:val="24"/>
        </w:rPr>
        <w:t xml:space="preserve"> </w:t>
      </w:r>
    </w:p>
    <w:p w14:paraId="0DBB9130" w14:textId="4E831DA2" w:rsidR="00A96C5C" w:rsidRDefault="00E53000" w:rsidP="00A96C5C">
      <w:pPr>
        <w:pStyle w:val="ListParagraph"/>
        <w:numPr>
          <w:ilvl w:val="0"/>
          <w:numId w:val="11"/>
        </w:numPr>
        <w:spacing w:after="0"/>
        <w:rPr>
          <w:rFonts w:ascii="Arial" w:eastAsia="Times New Roman" w:hAnsi="Arial" w:cs="Arial"/>
          <w:noProof/>
          <w:szCs w:val="24"/>
        </w:rPr>
      </w:pPr>
      <w:r w:rsidRPr="00A96C5C">
        <w:rPr>
          <w:rFonts w:ascii="Arial" w:eastAsia="Times New Roman" w:hAnsi="Arial" w:cs="Arial"/>
          <w:szCs w:val="24"/>
        </w:rPr>
        <w:t>highlights areas where the NEC has expressed concerns regarding the policies</w:t>
      </w:r>
      <w:r w:rsidR="00A96C5C">
        <w:rPr>
          <w:rFonts w:ascii="Arial" w:eastAsia="Times New Roman" w:hAnsi="Arial" w:cs="Arial"/>
          <w:szCs w:val="24"/>
        </w:rPr>
        <w:t xml:space="preserve"> </w:t>
      </w:r>
    </w:p>
    <w:p w14:paraId="11888E5B" w14:textId="689A733E" w:rsidR="0035152F" w:rsidRDefault="00293E99" w:rsidP="00A96C5C">
      <w:pPr>
        <w:pStyle w:val="ListParagraph"/>
        <w:numPr>
          <w:ilvl w:val="0"/>
          <w:numId w:val="11"/>
        </w:numPr>
        <w:spacing w:after="0"/>
        <w:rPr>
          <w:rFonts w:ascii="Arial" w:eastAsia="Times New Roman" w:hAnsi="Arial" w:cs="Arial"/>
          <w:noProof/>
          <w:szCs w:val="24"/>
        </w:rPr>
      </w:pPr>
      <w:r w:rsidRPr="00A96C5C">
        <w:rPr>
          <w:rFonts w:ascii="Arial" w:eastAsia="Times New Roman" w:hAnsi="Arial" w:cs="Arial"/>
          <w:szCs w:val="24"/>
        </w:rPr>
        <w:t>seeks direction</w:t>
      </w:r>
      <w:r w:rsidR="00A96C5C">
        <w:rPr>
          <w:rFonts w:ascii="Arial" w:eastAsia="Times New Roman" w:hAnsi="Arial" w:cs="Arial"/>
          <w:szCs w:val="24"/>
        </w:rPr>
        <w:t xml:space="preserve"> </w:t>
      </w:r>
      <w:r w:rsidRPr="00A96C5C">
        <w:rPr>
          <w:rFonts w:ascii="Arial" w:eastAsia="Times New Roman" w:hAnsi="Arial" w:cs="Arial"/>
          <w:szCs w:val="24"/>
        </w:rPr>
        <w:t>on the path forward.</w:t>
      </w:r>
      <w:r w:rsidR="002C4D1C">
        <w:rPr>
          <w:rFonts w:ascii="Arial" w:eastAsia="Times New Roman" w:hAnsi="Arial" w:cs="Arial"/>
          <w:szCs w:val="24"/>
        </w:rPr>
        <w:t xml:space="preserve"> </w:t>
      </w:r>
    </w:p>
    <w:p w14:paraId="38642BE3" w14:textId="7BD447F5" w:rsidR="007E6F42" w:rsidRDefault="007E6F42" w:rsidP="007E6F42">
      <w:pPr>
        <w:spacing w:after="0"/>
        <w:rPr>
          <w:rFonts w:ascii="Arial" w:eastAsia="Times New Roman" w:hAnsi="Arial" w:cs="Arial"/>
          <w:noProof/>
          <w:szCs w:val="24"/>
        </w:rPr>
      </w:pPr>
    </w:p>
    <w:p w14:paraId="19D98A14" w14:textId="4B830550" w:rsidR="007E6F42" w:rsidRDefault="007E6F42" w:rsidP="007E6F42">
      <w:pPr>
        <w:spacing w:after="0"/>
        <w:rPr>
          <w:rFonts w:ascii="Arial" w:eastAsia="Times New Roman" w:hAnsi="Arial" w:cs="Arial"/>
          <w:noProof/>
          <w:szCs w:val="24"/>
        </w:rPr>
      </w:pPr>
      <w:r>
        <w:rPr>
          <w:rFonts w:ascii="Arial" w:eastAsia="Times New Roman" w:hAnsi="Arial" w:cs="Arial"/>
          <w:noProof/>
          <w:szCs w:val="24"/>
        </w:rPr>
        <w:t>This report is does not provide a comprehensive review of the NEP policies and</w:t>
      </w:r>
      <w:r w:rsidR="008108F6">
        <w:rPr>
          <w:rFonts w:ascii="Arial" w:eastAsia="Times New Roman" w:hAnsi="Arial" w:cs="Arial"/>
          <w:noProof/>
          <w:szCs w:val="24"/>
        </w:rPr>
        <w:t xml:space="preserve"> decisions.  </w:t>
      </w:r>
    </w:p>
    <w:p w14:paraId="64980906" w14:textId="379F1EF2" w:rsidR="0035152F" w:rsidRDefault="0035152F" w:rsidP="00E70073">
      <w:pPr>
        <w:spacing w:after="0"/>
        <w:rPr>
          <w:rFonts w:ascii="Arial" w:eastAsia="Times New Roman" w:hAnsi="Arial" w:cs="Arial"/>
          <w:noProof/>
          <w:szCs w:val="24"/>
        </w:rPr>
      </w:pPr>
    </w:p>
    <w:p w14:paraId="6E178854" w14:textId="3649CB06" w:rsidR="00AE1BAF" w:rsidRDefault="00C7752A" w:rsidP="00E70073">
      <w:pPr>
        <w:pStyle w:val="Heading2"/>
        <w:spacing w:line="276" w:lineRule="auto"/>
        <w:rPr>
          <w:lang w:val="en-US"/>
        </w:rPr>
      </w:pPr>
      <w:r>
        <w:rPr>
          <w:lang w:val="en-US"/>
        </w:rPr>
        <w:t>BACKGROUND:</w:t>
      </w:r>
    </w:p>
    <w:p w14:paraId="47FE6B63" w14:textId="30BE0ED5" w:rsidR="00F665A2" w:rsidRDefault="00F665A2" w:rsidP="00E70073">
      <w:pPr>
        <w:rPr>
          <w:lang w:val="en-US"/>
        </w:rPr>
      </w:pPr>
    </w:p>
    <w:p w14:paraId="24686493" w14:textId="5C812A3C" w:rsidR="005033A7" w:rsidRDefault="005033A7" w:rsidP="005033A7">
      <w:pPr>
        <w:pStyle w:val="Heading3"/>
      </w:pPr>
      <w:r>
        <w:t xml:space="preserve">Previous </w:t>
      </w:r>
      <w:r w:rsidR="005B77B0">
        <w:t xml:space="preserve">Concerns and Activities </w:t>
      </w:r>
      <w:r w:rsidR="007B73C2">
        <w:t>Regarding Agricultural Policies</w:t>
      </w:r>
    </w:p>
    <w:p w14:paraId="66D172E8" w14:textId="56519822" w:rsidR="005B78BB" w:rsidRDefault="00FB4CA4" w:rsidP="00E70073">
      <w:pPr>
        <w:rPr>
          <w:lang w:val="en-US"/>
        </w:rPr>
      </w:pPr>
      <w:r>
        <w:rPr>
          <w:lang w:val="en-US"/>
        </w:rPr>
        <w:t>Members of the Niagara Escarpment Commission expressed concern that</w:t>
      </w:r>
      <w:r w:rsidR="00E77C21">
        <w:rPr>
          <w:lang w:val="en-US"/>
        </w:rPr>
        <w:t xml:space="preserve"> the agricultural policies of the NEP are inadequate in terms of supporting agriculture</w:t>
      </w:r>
      <w:r w:rsidR="00B308C4">
        <w:rPr>
          <w:lang w:val="en-US"/>
        </w:rPr>
        <w:t xml:space="preserve">. </w:t>
      </w:r>
      <w:r w:rsidR="00BB5970">
        <w:rPr>
          <w:lang w:val="en-US"/>
        </w:rPr>
        <w:t xml:space="preserve"> </w:t>
      </w:r>
      <w:r w:rsidR="00CA55D8">
        <w:rPr>
          <w:lang w:val="en-US"/>
        </w:rPr>
        <w:t xml:space="preserve">Appendix 1 contains a summary of key </w:t>
      </w:r>
      <w:r w:rsidR="00BB5970">
        <w:rPr>
          <w:lang w:val="en-US"/>
        </w:rPr>
        <w:t>activities</w:t>
      </w:r>
      <w:r w:rsidR="00C8088D">
        <w:rPr>
          <w:lang w:val="en-US"/>
        </w:rPr>
        <w:t xml:space="preserve"> that have taken place</w:t>
      </w:r>
      <w:r w:rsidR="00EA0684">
        <w:rPr>
          <w:lang w:val="en-US"/>
        </w:rPr>
        <w:t xml:space="preserve"> regarding agricultural policies</w:t>
      </w:r>
      <w:r w:rsidR="00905467">
        <w:rPr>
          <w:lang w:val="en-US"/>
        </w:rPr>
        <w:t>.  This is provided</w:t>
      </w:r>
      <w:r w:rsidR="00C8088D">
        <w:rPr>
          <w:lang w:val="en-US"/>
        </w:rPr>
        <w:t xml:space="preserve"> so that the Commission has a common awareness </w:t>
      </w:r>
      <w:r w:rsidR="009654D5">
        <w:rPr>
          <w:lang w:val="en-US"/>
        </w:rPr>
        <w:t>and context for discussion.</w:t>
      </w:r>
      <w:r w:rsidR="00B308C4">
        <w:rPr>
          <w:lang w:val="en-US"/>
        </w:rPr>
        <w:t xml:space="preserve"> </w:t>
      </w:r>
    </w:p>
    <w:p w14:paraId="1ECBF6E0" w14:textId="77777777" w:rsidR="00F2077F" w:rsidRDefault="00F2077F"/>
    <w:p w14:paraId="26E76A95" w14:textId="77777777" w:rsidR="00F2077F" w:rsidRDefault="00F2077F"/>
    <w:p w14:paraId="248DF3CA" w14:textId="1871D617" w:rsidR="00860388" w:rsidRDefault="005605B8" w:rsidP="00860388">
      <w:pPr>
        <w:pStyle w:val="Heading3"/>
      </w:pPr>
      <w:r>
        <w:lastRenderedPageBreak/>
        <w:t xml:space="preserve">NEP </w:t>
      </w:r>
      <w:r w:rsidR="00860388">
        <w:t>Agricultural Policies</w:t>
      </w:r>
    </w:p>
    <w:p w14:paraId="389A0590" w14:textId="617B188B" w:rsidR="00C76932" w:rsidRDefault="000F179D" w:rsidP="00E70073">
      <w:pPr>
        <w:rPr>
          <w:lang w:val="en-US"/>
        </w:rPr>
      </w:pPr>
      <w:r>
        <w:rPr>
          <w:lang w:val="en-US"/>
        </w:rPr>
        <w:t>The 2017</w:t>
      </w:r>
      <w:r w:rsidR="00C76932">
        <w:rPr>
          <w:lang w:val="en-US"/>
        </w:rPr>
        <w:t xml:space="preserve"> NEP resulted in several changes to policies related to agriculture</w:t>
      </w:r>
      <w:r w:rsidR="005104C7">
        <w:rPr>
          <w:lang w:val="en-US"/>
        </w:rPr>
        <w:t xml:space="preserve"> to better align with </w:t>
      </w:r>
      <w:r w:rsidR="002A2935">
        <w:rPr>
          <w:lang w:val="en-US"/>
        </w:rPr>
        <w:t>the Provincial Policy Statement</w:t>
      </w:r>
      <w:r w:rsidR="00C76932">
        <w:rPr>
          <w:lang w:val="en-US"/>
        </w:rPr>
        <w:t>.</w:t>
      </w:r>
      <w:r w:rsidR="00992682">
        <w:rPr>
          <w:lang w:val="en-US"/>
        </w:rPr>
        <w:t xml:space="preserve">  Agriculture Related Uses an</w:t>
      </w:r>
      <w:r w:rsidR="000E087C">
        <w:rPr>
          <w:lang w:val="en-US"/>
        </w:rPr>
        <w:t>d</w:t>
      </w:r>
      <w:r w:rsidR="00992682">
        <w:rPr>
          <w:lang w:val="en-US"/>
        </w:rPr>
        <w:t xml:space="preserve"> On</w:t>
      </w:r>
      <w:r w:rsidR="001D6015">
        <w:rPr>
          <w:lang w:val="en-US"/>
        </w:rPr>
        <w:t>-</w:t>
      </w:r>
      <w:r w:rsidR="00992682">
        <w:rPr>
          <w:lang w:val="en-US"/>
        </w:rPr>
        <w:t>Farm Diversified Uses were added to the NEP</w:t>
      </w:r>
      <w:r w:rsidR="00863AF1">
        <w:rPr>
          <w:lang w:val="en-US"/>
        </w:rPr>
        <w:t>.  These policies are more permissive in terms of the types and scale of uses</w:t>
      </w:r>
      <w:r w:rsidR="005A6BE5">
        <w:rPr>
          <w:lang w:val="en-US"/>
        </w:rPr>
        <w:t xml:space="preserve"> related to agriculture</w:t>
      </w:r>
      <w:r w:rsidR="00863AF1">
        <w:rPr>
          <w:lang w:val="en-US"/>
        </w:rPr>
        <w:t xml:space="preserve"> than previously existed</w:t>
      </w:r>
      <w:r w:rsidR="000E087C">
        <w:rPr>
          <w:lang w:val="en-US"/>
        </w:rPr>
        <w:t xml:space="preserve"> in the NEP</w:t>
      </w:r>
      <w:r w:rsidR="00863AF1">
        <w:rPr>
          <w:lang w:val="en-US"/>
        </w:rPr>
        <w:t>.</w:t>
      </w:r>
      <w:r w:rsidR="003C7AFB">
        <w:rPr>
          <w:lang w:val="en-US"/>
        </w:rPr>
        <w:t xml:space="preserve">  Notwithstanding this, </w:t>
      </w:r>
      <w:r w:rsidR="00833463">
        <w:rPr>
          <w:lang w:val="en-US"/>
        </w:rPr>
        <w:t>some municipalities and stakeholders have raised concerns that the NEP policies are too restrictive.  As noted in Appendix 1, the Commission</w:t>
      </w:r>
      <w:r w:rsidR="00CF7DE1">
        <w:rPr>
          <w:lang w:val="en-US"/>
        </w:rPr>
        <w:t xml:space="preserve"> (and individual Commissioners)</w:t>
      </w:r>
      <w:r w:rsidR="00833463">
        <w:rPr>
          <w:lang w:val="en-US"/>
        </w:rPr>
        <w:t xml:space="preserve"> has also expressed concern</w:t>
      </w:r>
      <w:r w:rsidR="00BB5CFA">
        <w:rPr>
          <w:lang w:val="en-US"/>
        </w:rPr>
        <w:t>.</w:t>
      </w:r>
    </w:p>
    <w:p w14:paraId="38EC9B13" w14:textId="1EB51870" w:rsidR="006D7E5B" w:rsidRDefault="00AD6FD0" w:rsidP="006D7E5B">
      <w:pPr>
        <w:pStyle w:val="Heading3"/>
      </w:pPr>
      <w:r>
        <w:t>Permitted Uses</w:t>
      </w:r>
      <w:r w:rsidR="005D30D3">
        <w:t xml:space="preserve"> (NEP Part 1)</w:t>
      </w:r>
      <w:r w:rsidR="003B457C">
        <w:t xml:space="preserve"> and Development Criteria</w:t>
      </w:r>
      <w:r w:rsidR="005D30D3">
        <w:t xml:space="preserve"> (NEP Part 2)</w:t>
      </w:r>
    </w:p>
    <w:p w14:paraId="3C29D4F5" w14:textId="5B4C75B3" w:rsidR="00363A81" w:rsidRDefault="00AD6FD0" w:rsidP="00E70073">
      <w:pPr>
        <w:rPr>
          <w:lang w:val="en-US"/>
        </w:rPr>
      </w:pPr>
      <w:r>
        <w:rPr>
          <w:lang w:val="en-US"/>
        </w:rPr>
        <w:t>When the NEC considers a development application, the first consideration is whether the development proposal is a “Permitted Use”</w:t>
      </w:r>
      <w:r w:rsidR="00F409B7">
        <w:rPr>
          <w:lang w:val="en-US"/>
        </w:rPr>
        <w:t xml:space="preserve"> under Part 1 of the NEP</w:t>
      </w:r>
      <w:r>
        <w:rPr>
          <w:lang w:val="en-US"/>
        </w:rPr>
        <w:t>.  If a proposed development is not a Permitted Use, it is grounds for refusal of the application</w:t>
      </w:r>
      <w:r w:rsidR="00205E18">
        <w:rPr>
          <w:lang w:val="en-US"/>
        </w:rPr>
        <w:t xml:space="preserve"> and no further evaluation is undertaken</w:t>
      </w:r>
      <w:r>
        <w:rPr>
          <w:lang w:val="en-US"/>
        </w:rPr>
        <w:t>.</w:t>
      </w:r>
      <w:r w:rsidR="00A56929">
        <w:rPr>
          <w:lang w:val="en-US"/>
        </w:rPr>
        <w:t xml:space="preserve">  </w:t>
      </w:r>
      <w:r w:rsidR="00E049BA">
        <w:rPr>
          <w:lang w:val="en-US"/>
        </w:rPr>
        <w:t xml:space="preserve"> </w:t>
      </w:r>
      <w:r w:rsidR="001D7104">
        <w:rPr>
          <w:lang w:val="en-US"/>
        </w:rPr>
        <w:t xml:space="preserve">  </w:t>
      </w:r>
    </w:p>
    <w:p w14:paraId="3EB0D713" w14:textId="59471FF4" w:rsidR="00ED4E3B" w:rsidRDefault="00041D80" w:rsidP="00E70073">
      <w:pPr>
        <w:rPr>
          <w:lang w:val="en-US"/>
        </w:rPr>
      </w:pPr>
      <w:r>
        <w:rPr>
          <w:lang w:val="en-US"/>
        </w:rPr>
        <w:t xml:space="preserve">If a use is permitted, then evaluation is undertaken under Part 2 – Development Criteria.  </w:t>
      </w:r>
      <w:r w:rsidR="00B72136">
        <w:rPr>
          <w:lang w:val="en-US"/>
        </w:rPr>
        <w:t>Man</w:t>
      </w:r>
      <w:r w:rsidR="001D6015">
        <w:rPr>
          <w:lang w:val="en-US"/>
        </w:rPr>
        <w:t>y</w:t>
      </w:r>
      <w:r w:rsidR="00B72136">
        <w:rPr>
          <w:lang w:val="en-US"/>
        </w:rPr>
        <w:t xml:space="preserve"> of the concerns identified by the </w:t>
      </w:r>
      <w:r>
        <w:rPr>
          <w:lang w:val="en-US"/>
        </w:rPr>
        <w:t xml:space="preserve">Commission </w:t>
      </w:r>
      <w:r w:rsidR="00B72136">
        <w:rPr>
          <w:lang w:val="en-US"/>
        </w:rPr>
        <w:t>relate to this section of th</w:t>
      </w:r>
      <w:r w:rsidR="00D04536">
        <w:rPr>
          <w:lang w:val="en-US"/>
        </w:rPr>
        <w:t>e</w:t>
      </w:r>
      <w:r w:rsidR="00B72136">
        <w:rPr>
          <w:lang w:val="en-US"/>
        </w:rPr>
        <w:t xml:space="preserve"> NEP</w:t>
      </w:r>
      <w:r w:rsidR="00D04536">
        <w:rPr>
          <w:lang w:val="en-US"/>
        </w:rPr>
        <w:t xml:space="preserve"> (</w:t>
      </w:r>
      <w:r w:rsidR="00692923">
        <w:rPr>
          <w:lang w:val="en-US"/>
        </w:rPr>
        <w:t>e.g.,</w:t>
      </w:r>
      <w:r w:rsidR="004C40AC">
        <w:rPr>
          <w:lang w:val="en-US"/>
        </w:rPr>
        <w:t xml:space="preserve"> </w:t>
      </w:r>
      <w:r w:rsidR="007847C9">
        <w:rPr>
          <w:lang w:val="en-US"/>
        </w:rPr>
        <w:t xml:space="preserve">farm help; accessory </w:t>
      </w:r>
      <w:r w:rsidR="002E7794">
        <w:rPr>
          <w:lang w:val="en-US"/>
        </w:rPr>
        <w:t>uses).</w:t>
      </w:r>
      <w:r w:rsidR="00F62A12">
        <w:rPr>
          <w:lang w:val="en-US"/>
        </w:rPr>
        <w:t xml:space="preserve">  </w:t>
      </w:r>
    </w:p>
    <w:p w14:paraId="74896771" w14:textId="7E7AA4F5" w:rsidR="00ED4E3B" w:rsidRDefault="00ED4E3B" w:rsidP="00E70073">
      <w:pPr>
        <w:rPr>
          <w:lang w:val="en-US"/>
        </w:rPr>
      </w:pPr>
      <w:r>
        <w:rPr>
          <w:lang w:val="en-US"/>
        </w:rPr>
        <w:t xml:space="preserve">The </w:t>
      </w:r>
      <w:r w:rsidR="003D61B3">
        <w:rPr>
          <w:i/>
          <w:iCs/>
          <w:lang w:val="en-US"/>
        </w:rPr>
        <w:t>Niagara Escarpment Planning and Development Act</w:t>
      </w:r>
      <w:r>
        <w:rPr>
          <w:lang w:val="en-US"/>
        </w:rPr>
        <w:t xml:space="preserve"> </w:t>
      </w:r>
      <w:r w:rsidR="003D61B3">
        <w:rPr>
          <w:lang w:val="en-US"/>
        </w:rPr>
        <w:t xml:space="preserve">(S 25) </w:t>
      </w:r>
      <w:r w:rsidR="00E47DE0">
        <w:rPr>
          <w:lang w:val="en-US"/>
        </w:rPr>
        <w:t xml:space="preserve">provides </w:t>
      </w:r>
      <w:r>
        <w:rPr>
          <w:lang w:val="en-US"/>
        </w:rPr>
        <w:t xml:space="preserve">that a decision to issue a development permit </w:t>
      </w:r>
      <w:r w:rsidR="002E7794">
        <w:rPr>
          <w:lang w:val="en-US"/>
        </w:rPr>
        <w:t xml:space="preserve">by the Commission </w:t>
      </w:r>
      <w:r>
        <w:rPr>
          <w:lang w:val="en-US"/>
        </w:rPr>
        <w:t xml:space="preserve">must be made in accordance with the Niagara Escarpment Plan.  It flows from this that if a use is not permitted or does not meet the Development Criteria, then the Commission should not approve the application.  The pathway to </w:t>
      </w:r>
      <w:r w:rsidR="004D0559">
        <w:rPr>
          <w:lang w:val="en-US"/>
        </w:rPr>
        <w:t xml:space="preserve">otherwise approve the </w:t>
      </w:r>
      <w:r w:rsidR="007439C6">
        <w:rPr>
          <w:lang w:val="en-US"/>
        </w:rPr>
        <w:t>proposed</w:t>
      </w:r>
      <w:r>
        <w:rPr>
          <w:lang w:val="en-US"/>
        </w:rPr>
        <w:t xml:space="preserve"> development would be through an amendment to the NEP.</w:t>
      </w:r>
    </w:p>
    <w:p w14:paraId="731C026A" w14:textId="47C57052" w:rsidR="001C1193" w:rsidRDefault="001E5187" w:rsidP="001C1193">
      <w:pPr>
        <w:pStyle w:val="Heading3"/>
      </w:pPr>
      <w:r>
        <w:t>Commission</w:t>
      </w:r>
      <w:r w:rsidR="00FD1F9D">
        <w:t xml:space="preserve"> Discussions and Decisions</w:t>
      </w:r>
    </w:p>
    <w:p w14:paraId="162CE348" w14:textId="10F2F20B" w:rsidR="00955E89" w:rsidRDefault="007F147A" w:rsidP="00202234">
      <w:pPr>
        <w:rPr>
          <w:rFonts w:cstheme="minorHAnsi"/>
          <w:lang w:val="en-US"/>
        </w:rPr>
      </w:pPr>
      <w:r>
        <w:rPr>
          <w:rFonts w:cstheme="minorHAnsi"/>
          <w:lang w:val="en-US"/>
        </w:rPr>
        <w:t xml:space="preserve">The Commission has dealt with numerous Development Permit applications </w:t>
      </w:r>
      <w:r w:rsidR="00CD7ADE">
        <w:rPr>
          <w:rFonts w:cstheme="minorHAnsi"/>
          <w:lang w:val="en-US"/>
        </w:rPr>
        <w:t xml:space="preserve">applying the NEP </w:t>
      </w:r>
      <w:r w:rsidR="00E266C2">
        <w:rPr>
          <w:rFonts w:cstheme="minorHAnsi"/>
          <w:lang w:val="en-US"/>
        </w:rPr>
        <w:t xml:space="preserve">agricultural </w:t>
      </w:r>
      <w:r w:rsidR="00CD7ADE">
        <w:rPr>
          <w:rFonts w:cstheme="minorHAnsi"/>
          <w:lang w:val="en-US"/>
        </w:rPr>
        <w:t>polices introduced in 2017.</w:t>
      </w:r>
      <w:r w:rsidR="004D5EAC">
        <w:rPr>
          <w:rFonts w:cstheme="minorHAnsi"/>
          <w:lang w:val="en-US"/>
        </w:rPr>
        <w:t xml:space="preserve">  </w:t>
      </w:r>
      <w:r w:rsidR="003E3D31">
        <w:rPr>
          <w:rFonts w:cstheme="minorHAnsi"/>
          <w:lang w:val="en-US"/>
        </w:rPr>
        <w:t xml:space="preserve">In some </w:t>
      </w:r>
      <w:r w:rsidR="00A94193">
        <w:rPr>
          <w:rFonts w:cstheme="minorHAnsi"/>
          <w:lang w:val="en-US"/>
        </w:rPr>
        <w:t>cases,</w:t>
      </w:r>
      <w:r w:rsidR="003E3D31">
        <w:rPr>
          <w:rFonts w:cstheme="minorHAnsi"/>
          <w:lang w:val="en-US"/>
        </w:rPr>
        <w:t xml:space="preserve"> there seem</w:t>
      </w:r>
      <w:r w:rsidR="00A94193">
        <w:rPr>
          <w:rFonts w:cstheme="minorHAnsi"/>
          <w:lang w:val="en-US"/>
        </w:rPr>
        <w:t>s</w:t>
      </w:r>
      <w:r w:rsidR="003E3D31">
        <w:rPr>
          <w:rFonts w:cstheme="minorHAnsi"/>
          <w:lang w:val="en-US"/>
        </w:rPr>
        <w:t xml:space="preserve"> to be no issues in terms of meeting NEP policies.  For example, </w:t>
      </w:r>
      <w:r w:rsidR="00202234">
        <w:rPr>
          <w:rFonts w:cstheme="minorHAnsi"/>
          <w:lang w:val="en-US"/>
        </w:rPr>
        <w:t>a</w:t>
      </w:r>
      <w:r w:rsidR="00FD7FA6" w:rsidRPr="00202234">
        <w:rPr>
          <w:rFonts w:cstheme="minorHAnsi"/>
          <w:lang w:val="en-US"/>
        </w:rPr>
        <w:t>pplications involving wineries have been able to meet NEP policies and have been approved.</w:t>
      </w:r>
      <w:r w:rsidR="00202234">
        <w:rPr>
          <w:rFonts w:cstheme="minorHAnsi"/>
          <w:lang w:val="en-US"/>
        </w:rPr>
        <w:t xml:space="preserve">  </w:t>
      </w:r>
      <w:r w:rsidR="002F3CF2">
        <w:rPr>
          <w:rFonts w:cstheme="minorHAnsi"/>
          <w:lang w:val="en-US"/>
        </w:rPr>
        <w:t>Notwithstanding this, stakeholders (</w:t>
      </w:r>
      <w:r w:rsidR="00692923">
        <w:rPr>
          <w:rFonts w:cstheme="minorHAnsi"/>
          <w:lang w:val="en-US"/>
        </w:rPr>
        <w:t>e.g.,</w:t>
      </w:r>
      <w:r w:rsidR="002F3CF2">
        <w:rPr>
          <w:rFonts w:cstheme="minorHAnsi"/>
          <w:lang w:val="en-US"/>
        </w:rPr>
        <w:t xml:space="preserve"> Ontario Craft Wineries Council)</w:t>
      </w:r>
      <w:r w:rsidR="002614DC">
        <w:rPr>
          <w:rFonts w:cstheme="minorHAnsi"/>
          <w:lang w:val="en-US"/>
        </w:rPr>
        <w:t xml:space="preserve"> believe the policies</w:t>
      </w:r>
      <w:r w:rsidR="00955E89">
        <w:rPr>
          <w:rFonts w:cstheme="minorHAnsi"/>
          <w:lang w:val="en-US"/>
        </w:rPr>
        <w:t xml:space="preserve"> are overly restrictive and inhibit compatible activities that are aligned with the NEP.</w:t>
      </w:r>
    </w:p>
    <w:p w14:paraId="5B6FB05C" w14:textId="77777777" w:rsidR="007440E9" w:rsidRDefault="007440E9">
      <w:pPr>
        <w:rPr>
          <w:rFonts w:cstheme="minorHAnsi"/>
          <w:lang w:val="en-US"/>
        </w:rPr>
      </w:pPr>
      <w:r>
        <w:rPr>
          <w:rFonts w:cstheme="minorHAnsi"/>
          <w:lang w:val="en-US"/>
        </w:rPr>
        <w:br w:type="page"/>
      </w:r>
    </w:p>
    <w:p w14:paraId="424698FA" w14:textId="132DB46F" w:rsidR="003D3D9F" w:rsidRPr="00202234" w:rsidRDefault="00A77E4C" w:rsidP="00202234">
      <w:pPr>
        <w:rPr>
          <w:rFonts w:cstheme="minorHAnsi"/>
          <w:lang w:val="en-US"/>
        </w:rPr>
      </w:pPr>
      <w:r>
        <w:rPr>
          <w:rFonts w:cstheme="minorHAnsi"/>
          <w:lang w:val="en-US"/>
        </w:rPr>
        <w:lastRenderedPageBreak/>
        <w:t>The following are a few areas of concern.</w:t>
      </w:r>
    </w:p>
    <w:p w14:paraId="1A0495E5" w14:textId="21957620" w:rsidR="00FD7FA6" w:rsidRDefault="005F0C05" w:rsidP="003D3D9F">
      <w:pPr>
        <w:pStyle w:val="ListParagraph"/>
        <w:numPr>
          <w:ilvl w:val="0"/>
          <w:numId w:val="16"/>
        </w:numPr>
        <w:rPr>
          <w:rFonts w:cstheme="minorHAnsi"/>
          <w:lang w:val="en-US"/>
        </w:rPr>
      </w:pPr>
      <w:r>
        <w:rPr>
          <w:rFonts w:cstheme="minorHAnsi"/>
          <w:lang w:val="en-US"/>
        </w:rPr>
        <w:t xml:space="preserve">Policies regarding </w:t>
      </w:r>
      <w:r w:rsidR="008C153E">
        <w:rPr>
          <w:rFonts w:cstheme="minorHAnsi"/>
          <w:lang w:val="en-US"/>
        </w:rPr>
        <w:t xml:space="preserve">farm help accommodation, including situations related to farm succession planning.  </w:t>
      </w:r>
      <w:r w:rsidR="00202234">
        <w:rPr>
          <w:rFonts w:cstheme="minorHAnsi"/>
          <w:lang w:val="en-US"/>
        </w:rPr>
        <w:t xml:space="preserve"> </w:t>
      </w:r>
    </w:p>
    <w:p w14:paraId="3EAE65B8" w14:textId="6CC4547A" w:rsidR="004D5EAC" w:rsidRPr="00FB0664" w:rsidRDefault="00716E5A" w:rsidP="00234DBB">
      <w:pPr>
        <w:pStyle w:val="ListParagraph"/>
        <w:numPr>
          <w:ilvl w:val="0"/>
          <w:numId w:val="16"/>
        </w:numPr>
        <w:spacing w:after="0" w:line="240" w:lineRule="auto"/>
        <w:rPr>
          <w:lang w:val="en-US"/>
        </w:rPr>
      </w:pPr>
      <w:r>
        <w:rPr>
          <w:rFonts w:cstheme="minorHAnsi"/>
          <w:lang w:val="en-US"/>
        </w:rPr>
        <w:t>Policies</w:t>
      </w:r>
      <w:r w:rsidR="00202234" w:rsidRPr="007154C9">
        <w:rPr>
          <w:rFonts w:cstheme="minorHAnsi"/>
          <w:lang w:val="en-US"/>
        </w:rPr>
        <w:t xml:space="preserve"> </w:t>
      </w:r>
      <w:r w:rsidR="00DE00A5" w:rsidRPr="007154C9">
        <w:rPr>
          <w:rFonts w:cstheme="minorHAnsi"/>
          <w:lang w:val="en-US"/>
        </w:rPr>
        <w:t xml:space="preserve">involving </w:t>
      </w:r>
      <w:r w:rsidR="004D5EAC" w:rsidRPr="007154C9">
        <w:rPr>
          <w:rFonts w:cs="Arial"/>
        </w:rPr>
        <w:t>OFDUs</w:t>
      </w:r>
      <w:r w:rsidR="00F37BCA" w:rsidRPr="007154C9">
        <w:rPr>
          <w:rFonts w:cs="Arial"/>
        </w:rPr>
        <w:t>, which</w:t>
      </w:r>
      <w:r w:rsidR="004D5EAC" w:rsidRPr="007154C9">
        <w:rPr>
          <w:rFonts w:cs="Arial"/>
        </w:rPr>
        <w:t xml:space="preserve"> are only permitted in Prime Agricultural Areas in the Escarpment Protection Area designation. </w:t>
      </w:r>
    </w:p>
    <w:p w14:paraId="42E9AC25" w14:textId="76DAF4D8" w:rsidR="00FB0664" w:rsidRPr="007154C9" w:rsidRDefault="00927A3E" w:rsidP="00234DBB">
      <w:pPr>
        <w:pStyle w:val="ListParagraph"/>
        <w:numPr>
          <w:ilvl w:val="0"/>
          <w:numId w:val="16"/>
        </w:numPr>
        <w:spacing w:after="0" w:line="240" w:lineRule="auto"/>
        <w:rPr>
          <w:lang w:val="en-US"/>
        </w:rPr>
      </w:pPr>
      <w:r>
        <w:rPr>
          <w:lang w:val="en-US"/>
        </w:rPr>
        <w:t xml:space="preserve">Wineries continue to be viewed through a </w:t>
      </w:r>
      <w:r w:rsidR="00BB5B58">
        <w:rPr>
          <w:lang w:val="en-US"/>
        </w:rPr>
        <w:t xml:space="preserve">granular and </w:t>
      </w:r>
      <w:r>
        <w:rPr>
          <w:lang w:val="en-US"/>
        </w:rPr>
        <w:t>restrictive lens</w:t>
      </w:r>
      <w:r w:rsidR="00EB6B15">
        <w:rPr>
          <w:lang w:val="en-US"/>
        </w:rPr>
        <w:t xml:space="preserve"> </w:t>
      </w:r>
      <w:r w:rsidR="00976239">
        <w:rPr>
          <w:lang w:val="en-US"/>
        </w:rPr>
        <w:t>– more so than other on-farm diversified or agriculture related uses</w:t>
      </w:r>
      <w:r w:rsidR="00BB5B58">
        <w:rPr>
          <w:lang w:val="en-US"/>
        </w:rPr>
        <w:t xml:space="preserve">. </w:t>
      </w:r>
    </w:p>
    <w:p w14:paraId="16F72F3A" w14:textId="4A320B10" w:rsidR="004D5EAC" w:rsidRDefault="004D5EAC" w:rsidP="001E5187">
      <w:pPr>
        <w:rPr>
          <w:rFonts w:cstheme="minorHAnsi"/>
          <w:lang w:val="en-US"/>
        </w:rPr>
      </w:pPr>
    </w:p>
    <w:p w14:paraId="64FF7024" w14:textId="77777777" w:rsidR="00DF6953" w:rsidRDefault="00DF6953" w:rsidP="00DF6953">
      <w:pPr>
        <w:pStyle w:val="Heading3"/>
      </w:pPr>
      <w:r>
        <w:t>Policy Guidance Material</w:t>
      </w:r>
    </w:p>
    <w:p w14:paraId="367E083E" w14:textId="77777777" w:rsidR="00DF6953" w:rsidRDefault="00DF6953" w:rsidP="00DF6953">
      <w:pPr>
        <w:rPr>
          <w:rFonts w:cstheme="minorHAnsi"/>
          <w:lang w:val="en-US"/>
        </w:rPr>
      </w:pPr>
      <w:r>
        <w:rPr>
          <w:rFonts w:cstheme="minorHAnsi"/>
          <w:lang w:val="en-US"/>
        </w:rPr>
        <w:t xml:space="preserve">The 2017 NEP contains a section on Guidance Material which can be prepared to assist in implementation of the NEP policies.  The information, technical criteria and approaches outlined in guidance material are meant to support but not add to or detract for the policies of the Plan.  Specifically, the Guidance Material can only support implementation of existing policies.  It cannot introduce new policies or deviate from the current policies of the NEP.  </w:t>
      </w:r>
    </w:p>
    <w:p w14:paraId="1C0F1355" w14:textId="77777777" w:rsidR="00DF6953" w:rsidRDefault="00DF6953" w:rsidP="00DF6953">
      <w:pPr>
        <w:rPr>
          <w:rFonts w:cstheme="minorHAnsi"/>
          <w:lang w:val="en-US"/>
        </w:rPr>
      </w:pPr>
      <w:r>
        <w:rPr>
          <w:rFonts w:cstheme="minorHAnsi"/>
          <w:lang w:val="en-US"/>
        </w:rPr>
        <w:t>The NEC has directed staff prepare Policy Guidance for the following areas:</w:t>
      </w:r>
    </w:p>
    <w:p w14:paraId="0965716F" w14:textId="77777777" w:rsidR="00DF6953" w:rsidRDefault="00DF6953" w:rsidP="00DF6953">
      <w:pPr>
        <w:pStyle w:val="ListParagraph"/>
        <w:numPr>
          <w:ilvl w:val="0"/>
          <w:numId w:val="16"/>
        </w:numPr>
        <w:rPr>
          <w:rFonts w:cstheme="minorHAnsi"/>
          <w:lang w:val="en-US"/>
        </w:rPr>
      </w:pPr>
      <w:r>
        <w:rPr>
          <w:rFonts w:cstheme="minorHAnsi"/>
          <w:lang w:val="en-US"/>
        </w:rPr>
        <w:t>Events</w:t>
      </w:r>
    </w:p>
    <w:p w14:paraId="13BD62BA" w14:textId="77777777" w:rsidR="00DF6953" w:rsidRDefault="00DF6953" w:rsidP="00DF6953">
      <w:pPr>
        <w:pStyle w:val="ListParagraph"/>
        <w:numPr>
          <w:ilvl w:val="0"/>
          <w:numId w:val="16"/>
        </w:numPr>
        <w:rPr>
          <w:rFonts w:cstheme="minorHAnsi"/>
          <w:lang w:val="en-US"/>
        </w:rPr>
      </w:pPr>
      <w:r>
        <w:rPr>
          <w:rFonts w:cstheme="minorHAnsi"/>
          <w:lang w:val="en-US"/>
        </w:rPr>
        <w:t>Dwelling Units (including farm labour)</w:t>
      </w:r>
    </w:p>
    <w:p w14:paraId="63814446" w14:textId="3AEFDAF5" w:rsidR="00DF6953" w:rsidRDefault="00DF6953" w:rsidP="00DF6953">
      <w:pPr>
        <w:pStyle w:val="ListParagraph"/>
        <w:numPr>
          <w:ilvl w:val="0"/>
          <w:numId w:val="16"/>
        </w:numPr>
        <w:rPr>
          <w:rFonts w:cstheme="minorHAnsi"/>
          <w:lang w:val="en-US"/>
        </w:rPr>
      </w:pPr>
      <w:r>
        <w:rPr>
          <w:rFonts w:cstheme="minorHAnsi"/>
          <w:lang w:val="en-US"/>
        </w:rPr>
        <w:t>On</w:t>
      </w:r>
      <w:r w:rsidR="0079242F">
        <w:rPr>
          <w:rFonts w:cstheme="minorHAnsi"/>
          <w:lang w:val="en-US"/>
        </w:rPr>
        <w:t>-</w:t>
      </w:r>
      <w:r>
        <w:rPr>
          <w:rFonts w:cstheme="minorHAnsi"/>
          <w:lang w:val="en-US"/>
        </w:rPr>
        <w:t>Farm Diversified Uses</w:t>
      </w:r>
    </w:p>
    <w:p w14:paraId="09CD85F2" w14:textId="006A4F5E" w:rsidR="00280A02" w:rsidRDefault="00DF6953" w:rsidP="00DF6953">
      <w:pPr>
        <w:rPr>
          <w:rFonts w:cstheme="minorHAnsi"/>
          <w:lang w:val="en-US"/>
        </w:rPr>
      </w:pPr>
      <w:r>
        <w:rPr>
          <w:rFonts w:cstheme="minorHAnsi"/>
          <w:lang w:val="en-US"/>
        </w:rPr>
        <w:t xml:space="preserve">Guidance material for Events and Dwelling Units is underway, with an intent that draft documents return to the Commission in fall, 2021 and then proceed for consultation before final review and approval by the Commission.  Policy Guidance for </w:t>
      </w:r>
      <w:r w:rsidR="0079242F">
        <w:rPr>
          <w:rFonts w:cstheme="minorHAnsi"/>
          <w:lang w:val="en-US"/>
        </w:rPr>
        <w:t>On-Farm Diver</w:t>
      </w:r>
      <w:r w:rsidR="00186B40">
        <w:rPr>
          <w:rFonts w:cstheme="minorHAnsi"/>
          <w:lang w:val="en-US"/>
        </w:rPr>
        <w:t>sified Uses</w:t>
      </w:r>
      <w:r>
        <w:rPr>
          <w:rFonts w:cstheme="minorHAnsi"/>
          <w:lang w:val="en-US"/>
        </w:rPr>
        <w:t xml:space="preserve"> has been delayed.</w:t>
      </w:r>
    </w:p>
    <w:p w14:paraId="287B35CD" w14:textId="77777777" w:rsidR="002C59F9" w:rsidRPr="008531D3" w:rsidRDefault="002C59F9" w:rsidP="00DF6953">
      <w:pPr>
        <w:rPr>
          <w:rFonts w:cstheme="minorHAnsi"/>
          <w:lang w:val="en-US"/>
        </w:rPr>
      </w:pPr>
    </w:p>
    <w:p w14:paraId="7CDF4BB0" w14:textId="64470FAF" w:rsidR="00DF6953" w:rsidRDefault="00DF6953" w:rsidP="000E3494">
      <w:pPr>
        <w:pStyle w:val="Heading2"/>
        <w:spacing w:line="276" w:lineRule="auto"/>
        <w:rPr>
          <w:lang w:val="en-US"/>
        </w:rPr>
      </w:pPr>
      <w:r>
        <w:rPr>
          <w:lang w:val="en-US"/>
        </w:rPr>
        <w:t>DISCUSSION</w:t>
      </w:r>
    </w:p>
    <w:p w14:paraId="1531916E" w14:textId="77777777" w:rsidR="002C59F9" w:rsidRPr="002C59F9" w:rsidRDefault="002C59F9" w:rsidP="002C59F9">
      <w:pPr>
        <w:rPr>
          <w:lang w:val="en-US"/>
        </w:rPr>
      </w:pPr>
    </w:p>
    <w:p w14:paraId="65D75696" w14:textId="41FD5DF5" w:rsidR="00EA5F7E" w:rsidRDefault="000E3494" w:rsidP="00E70073">
      <w:pPr>
        <w:rPr>
          <w:rFonts w:cstheme="minorHAnsi"/>
          <w:lang w:val="en-US"/>
        </w:rPr>
      </w:pPr>
      <w:r>
        <w:rPr>
          <w:rFonts w:cstheme="minorHAnsi"/>
          <w:lang w:val="en-US"/>
        </w:rPr>
        <w:t xml:space="preserve">A key consideration for the Commission </w:t>
      </w:r>
      <w:r w:rsidR="00980AF2">
        <w:rPr>
          <w:rFonts w:cstheme="minorHAnsi"/>
          <w:lang w:val="en-US"/>
        </w:rPr>
        <w:t>is</w:t>
      </w:r>
      <w:r>
        <w:rPr>
          <w:rFonts w:cstheme="minorHAnsi"/>
          <w:lang w:val="en-US"/>
        </w:rPr>
        <w:t xml:space="preserve"> whether</w:t>
      </w:r>
      <w:r w:rsidR="006C7B88">
        <w:rPr>
          <w:rFonts w:cstheme="minorHAnsi"/>
          <w:lang w:val="en-US"/>
        </w:rPr>
        <w:t xml:space="preserve"> development of Policy Guidance will provide the clarification and implementation approach</w:t>
      </w:r>
      <w:r w:rsidR="00DC1C46">
        <w:rPr>
          <w:rFonts w:cstheme="minorHAnsi"/>
          <w:lang w:val="en-US"/>
        </w:rPr>
        <w:t xml:space="preserve"> to address concerns that have been raised.</w:t>
      </w:r>
      <w:r w:rsidR="00980AF2">
        <w:rPr>
          <w:rFonts w:cstheme="minorHAnsi"/>
          <w:lang w:val="en-US"/>
        </w:rPr>
        <w:t xml:space="preserve">  </w:t>
      </w:r>
      <w:r w:rsidR="00466BB9">
        <w:rPr>
          <w:rFonts w:cstheme="minorHAnsi"/>
          <w:lang w:val="en-US"/>
        </w:rPr>
        <w:t>If the Commission</w:t>
      </w:r>
      <w:r w:rsidR="005C77F9">
        <w:rPr>
          <w:rFonts w:cstheme="minorHAnsi"/>
          <w:lang w:val="en-US"/>
        </w:rPr>
        <w:t xml:space="preserve"> is of the view that an evaluation of the adequacy</w:t>
      </w:r>
      <w:r w:rsidR="00521161">
        <w:rPr>
          <w:rFonts w:cstheme="minorHAnsi"/>
          <w:lang w:val="en-US"/>
        </w:rPr>
        <w:t xml:space="preserve"> and effectiveness</w:t>
      </w:r>
      <w:r w:rsidR="005C77F9">
        <w:rPr>
          <w:rFonts w:cstheme="minorHAnsi"/>
          <w:lang w:val="en-US"/>
        </w:rPr>
        <w:t xml:space="preserve"> of NEP policies is necessary, then </w:t>
      </w:r>
      <w:r w:rsidR="00521161">
        <w:rPr>
          <w:rFonts w:cstheme="minorHAnsi"/>
          <w:lang w:val="en-US"/>
        </w:rPr>
        <w:t>preparation</w:t>
      </w:r>
      <w:r w:rsidR="00643B39">
        <w:rPr>
          <w:rFonts w:cstheme="minorHAnsi"/>
          <w:lang w:val="en-US"/>
        </w:rPr>
        <w:t xml:space="preserve"> of Policy Guidance</w:t>
      </w:r>
      <w:r w:rsidR="00A95C72">
        <w:rPr>
          <w:rFonts w:cstheme="minorHAnsi"/>
          <w:lang w:val="en-US"/>
        </w:rPr>
        <w:t xml:space="preserve"> </w:t>
      </w:r>
      <w:r w:rsidR="00904733">
        <w:rPr>
          <w:rFonts w:cstheme="minorHAnsi"/>
          <w:lang w:val="en-US"/>
        </w:rPr>
        <w:t xml:space="preserve">related to agriculture </w:t>
      </w:r>
      <w:r w:rsidR="00521161">
        <w:rPr>
          <w:rFonts w:cstheme="minorHAnsi"/>
          <w:lang w:val="en-US"/>
        </w:rPr>
        <w:t>should be deferred</w:t>
      </w:r>
      <w:r w:rsidR="00643B39">
        <w:rPr>
          <w:rFonts w:cstheme="minorHAnsi"/>
          <w:lang w:val="en-US"/>
        </w:rPr>
        <w:t>.</w:t>
      </w:r>
      <w:r w:rsidR="00A27E58">
        <w:rPr>
          <w:rFonts w:cstheme="minorHAnsi"/>
          <w:lang w:val="en-US"/>
        </w:rPr>
        <w:t xml:space="preserve">  Instead, the Commission should</w:t>
      </w:r>
      <w:r w:rsidR="00EA5F7E">
        <w:rPr>
          <w:rFonts w:cstheme="minorHAnsi"/>
          <w:lang w:val="en-US"/>
        </w:rPr>
        <w:t>:</w:t>
      </w:r>
      <w:r w:rsidR="006A3C28">
        <w:rPr>
          <w:rFonts w:cstheme="minorHAnsi"/>
          <w:lang w:val="en-US"/>
        </w:rPr>
        <w:t xml:space="preserve"> </w:t>
      </w:r>
    </w:p>
    <w:p w14:paraId="30713264" w14:textId="77777777" w:rsidR="00EA5F7E" w:rsidRDefault="00EA5F7E" w:rsidP="00EA5F7E">
      <w:pPr>
        <w:pStyle w:val="ListParagraph"/>
        <w:numPr>
          <w:ilvl w:val="0"/>
          <w:numId w:val="22"/>
        </w:numPr>
        <w:rPr>
          <w:rFonts w:cstheme="minorHAnsi"/>
          <w:lang w:val="en-US"/>
        </w:rPr>
      </w:pPr>
      <w:r>
        <w:rPr>
          <w:rFonts w:cstheme="minorHAnsi"/>
          <w:lang w:val="en-US"/>
        </w:rPr>
        <w:t>D</w:t>
      </w:r>
      <w:r w:rsidR="00282BC6" w:rsidRPr="00EA5F7E">
        <w:rPr>
          <w:rFonts w:cstheme="minorHAnsi"/>
          <w:lang w:val="en-US"/>
        </w:rPr>
        <w:t xml:space="preserve">irect staff to undertake an evaluation of the NEP agricultural policies and </w:t>
      </w:r>
    </w:p>
    <w:p w14:paraId="7D1B7683" w14:textId="6EE5D28E" w:rsidR="00D460F8" w:rsidRPr="00EA5F7E" w:rsidRDefault="00EA5F7E" w:rsidP="00EA5F7E">
      <w:pPr>
        <w:pStyle w:val="ListParagraph"/>
        <w:numPr>
          <w:ilvl w:val="0"/>
          <w:numId w:val="22"/>
        </w:numPr>
        <w:rPr>
          <w:rFonts w:cstheme="minorHAnsi"/>
          <w:lang w:val="en-US"/>
        </w:rPr>
      </w:pPr>
      <w:r>
        <w:rPr>
          <w:rFonts w:cstheme="minorHAnsi"/>
          <w:lang w:val="en-US"/>
        </w:rPr>
        <w:t>R</w:t>
      </w:r>
      <w:r w:rsidR="00282BC6" w:rsidRPr="00EA5F7E">
        <w:rPr>
          <w:rFonts w:cstheme="minorHAnsi"/>
          <w:lang w:val="en-US"/>
        </w:rPr>
        <w:t xml:space="preserve">eturn to the Commission </w:t>
      </w:r>
      <w:r w:rsidR="008C24B6">
        <w:rPr>
          <w:rFonts w:cstheme="minorHAnsi"/>
          <w:lang w:val="en-US"/>
        </w:rPr>
        <w:t xml:space="preserve">with the results of the evaluation </w:t>
      </w:r>
      <w:r w:rsidR="009C44BE" w:rsidRPr="00EA5F7E">
        <w:rPr>
          <w:rFonts w:cstheme="minorHAnsi"/>
          <w:lang w:val="en-US"/>
        </w:rPr>
        <w:t>for direction regarding whether the Commission</w:t>
      </w:r>
      <w:r w:rsidR="008C24B6">
        <w:rPr>
          <w:rFonts w:cstheme="minorHAnsi"/>
          <w:lang w:val="en-US"/>
        </w:rPr>
        <w:t xml:space="preserve"> wishes to initiate an amendment to the NEP.</w:t>
      </w:r>
      <w:r w:rsidR="006A3C28" w:rsidRPr="00EA5F7E">
        <w:rPr>
          <w:rFonts w:cstheme="minorHAnsi"/>
          <w:lang w:val="en-US"/>
        </w:rPr>
        <w:t xml:space="preserve"> </w:t>
      </w:r>
    </w:p>
    <w:p w14:paraId="7D0E89AB" w14:textId="24D23252" w:rsidR="00EB2FD5" w:rsidRDefault="003221BD" w:rsidP="00E70073">
      <w:pPr>
        <w:rPr>
          <w:rFonts w:cstheme="minorHAnsi"/>
          <w:lang w:val="en-US"/>
        </w:rPr>
      </w:pPr>
      <w:r>
        <w:rPr>
          <w:rFonts w:cstheme="minorHAnsi"/>
          <w:lang w:val="en-US"/>
        </w:rPr>
        <w:lastRenderedPageBreak/>
        <w:t>T</w:t>
      </w:r>
      <w:r w:rsidR="00AF3CF1">
        <w:rPr>
          <w:rFonts w:cstheme="minorHAnsi"/>
          <w:lang w:val="en-US"/>
        </w:rPr>
        <w:t>he Commission</w:t>
      </w:r>
      <w:r w:rsidR="00731454">
        <w:rPr>
          <w:rFonts w:cstheme="minorHAnsi"/>
          <w:lang w:val="en-US"/>
        </w:rPr>
        <w:t xml:space="preserve"> i</w:t>
      </w:r>
      <w:r w:rsidR="007440E9">
        <w:rPr>
          <w:rFonts w:cstheme="minorHAnsi"/>
          <w:lang w:val="en-US"/>
        </w:rPr>
        <w:t>s</w:t>
      </w:r>
      <w:r w:rsidR="00731454">
        <w:rPr>
          <w:rFonts w:cstheme="minorHAnsi"/>
          <w:lang w:val="en-US"/>
        </w:rPr>
        <w:t xml:space="preserve"> reminded of </w:t>
      </w:r>
      <w:r w:rsidR="00C42340">
        <w:rPr>
          <w:rFonts w:cstheme="minorHAnsi"/>
          <w:lang w:val="en-US"/>
        </w:rPr>
        <w:t>its</w:t>
      </w:r>
      <w:r w:rsidR="00AF3CF1">
        <w:rPr>
          <w:rFonts w:cstheme="minorHAnsi"/>
          <w:lang w:val="en-US"/>
        </w:rPr>
        <w:t xml:space="preserve"> responsibilities under the </w:t>
      </w:r>
      <w:r w:rsidR="00AF3CF1">
        <w:rPr>
          <w:rFonts w:cstheme="minorHAnsi"/>
          <w:i/>
          <w:iCs/>
          <w:lang w:val="en-US"/>
        </w:rPr>
        <w:t>Niagara Escarpment Planning and Development Act</w:t>
      </w:r>
      <w:r>
        <w:rPr>
          <w:rFonts w:cstheme="minorHAnsi"/>
          <w:lang w:val="en-US"/>
        </w:rPr>
        <w:t xml:space="preserve"> to make decisions in accordance with the NEP</w:t>
      </w:r>
      <w:r w:rsidR="0051411B">
        <w:rPr>
          <w:rFonts w:cstheme="minorHAnsi"/>
          <w:lang w:val="en-US"/>
        </w:rPr>
        <w:t>.  N</w:t>
      </w:r>
      <w:r w:rsidR="009235D9">
        <w:rPr>
          <w:rFonts w:cstheme="minorHAnsi"/>
          <w:lang w:val="en-US"/>
        </w:rPr>
        <w:t>otwithstanding the Commission’s concerns, applications</w:t>
      </w:r>
      <w:r w:rsidR="0051411B">
        <w:rPr>
          <w:rFonts w:cstheme="minorHAnsi"/>
          <w:lang w:val="en-US"/>
        </w:rPr>
        <w:t xml:space="preserve"> that do not meet NEP policies</w:t>
      </w:r>
      <w:r w:rsidR="00A27E58">
        <w:rPr>
          <w:rFonts w:cstheme="minorHAnsi"/>
          <w:lang w:val="en-US"/>
        </w:rPr>
        <w:t xml:space="preserve"> should not be approved.</w:t>
      </w:r>
    </w:p>
    <w:p w14:paraId="36510FE6" w14:textId="247A1160" w:rsidR="00AE1BAF" w:rsidRPr="00BC0898" w:rsidRDefault="00AE1BAF" w:rsidP="00E70073">
      <w:pPr>
        <w:pStyle w:val="Heading2"/>
        <w:spacing w:line="276" w:lineRule="auto"/>
        <w:rPr>
          <w:lang w:val="en-US"/>
        </w:rPr>
      </w:pPr>
      <w:r w:rsidRPr="00BC0898">
        <w:rPr>
          <w:lang w:val="en-US"/>
        </w:rPr>
        <w:t>Prepared by:</w:t>
      </w:r>
    </w:p>
    <w:p w14:paraId="564EF9A8" w14:textId="2ECC8B75" w:rsidR="00AE1BAF" w:rsidRPr="00BC0898" w:rsidRDefault="00AE1BAF" w:rsidP="00E70073">
      <w:pPr>
        <w:spacing w:after="0"/>
        <w:rPr>
          <w:rFonts w:cstheme="minorHAnsi"/>
          <w:lang w:val="en-US"/>
        </w:rPr>
      </w:pPr>
    </w:p>
    <w:p w14:paraId="707EA28A" w14:textId="0B5BD70B" w:rsidR="001F1895" w:rsidRPr="00901DF5" w:rsidRDefault="00901DF5" w:rsidP="00E70073">
      <w:pPr>
        <w:spacing w:after="0"/>
        <w:rPr>
          <w:rFonts w:cstheme="minorHAnsi"/>
          <w:lang w:val="en-US"/>
        </w:rPr>
      </w:pPr>
      <w:r w:rsidRPr="00901DF5">
        <w:rPr>
          <w:rFonts w:cstheme="minorHAnsi"/>
          <w:lang w:val="en-US"/>
        </w:rPr>
        <w:t>Original signed by:</w:t>
      </w:r>
    </w:p>
    <w:p w14:paraId="30B34BBC" w14:textId="139938DD" w:rsidR="00AE1BAF" w:rsidRPr="00BC0898" w:rsidRDefault="00901DF5" w:rsidP="00E70073">
      <w:pPr>
        <w:spacing w:after="0"/>
        <w:rPr>
          <w:b/>
          <w:bCs/>
          <w:szCs w:val="24"/>
          <w:lang w:val="en-US"/>
        </w:rPr>
      </w:pPr>
      <w:r>
        <w:rPr>
          <w:b/>
          <w:bCs/>
          <w:lang w:val="en-US"/>
        </w:rPr>
        <w:t>__</w:t>
      </w:r>
      <w:r>
        <w:rPr>
          <w:noProof/>
          <w:u w:val="single"/>
        </w:rPr>
        <w:t>______________________</w:t>
      </w:r>
    </w:p>
    <w:p w14:paraId="1F92066F" w14:textId="63A3F7D5" w:rsidR="00AE1BAF" w:rsidRPr="00BC0898" w:rsidRDefault="00AE1BAF" w:rsidP="00E70073">
      <w:pPr>
        <w:spacing w:after="0"/>
        <w:rPr>
          <w:rFonts w:cstheme="minorHAnsi"/>
          <w:lang w:val="en-US"/>
        </w:rPr>
      </w:pPr>
      <w:r w:rsidRPr="00BC0898">
        <w:rPr>
          <w:rFonts w:cstheme="minorHAnsi"/>
          <w:lang w:val="en-US"/>
        </w:rPr>
        <w:t>Debbie Ramsay, MCIP, RPP</w:t>
      </w:r>
    </w:p>
    <w:p w14:paraId="5F8BF8E3" w14:textId="0D6429A4" w:rsidR="00AE1BAF" w:rsidRPr="00BC0898" w:rsidRDefault="00AE1BAF" w:rsidP="00E70073">
      <w:pPr>
        <w:spacing w:after="0"/>
        <w:rPr>
          <w:lang w:val="en-US"/>
        </w:rPr>
      </w:pPr>
      <w:r w:rsidRPr="00BC0898">
        <w:rPr>
          <w:lang w:val="en-US"/>
        </w:rPr>
        <w:t xml:space="preserve">Director </w:t>
      </w:r>
    </w:p>
    <w:p w14:paraId="2D6C7730" w14:textId="00AAC43C" w:rsidR="00E97AA8" w:rsidRPr="00BC0898" w:rsidRDefault="00E97AA8" w:rsidP="00E70073">
      <w:pPr>
        <w:rPr>
          <w:rFonts w:cstheme="minorHAnsi"/>
          <w:lang w:val="en-US"/>
        </w:rPr>
      </w:pPr>
    </w:p>
    <w:p w14:paraId="2CF13A25" w14:textId="616462F6" w:rsidR="00E97AA8" w:rsidRDefault="00E97AA8" w:rsidP="00E70073">
      <w:pPr>
        <w:rPr>
          <w:rFonts w:cstheme="minorHAnsi"/>
          <w:lang w:val="en-US"/>
        </w:rPr>
      </w:pPr>
      <w:r w:rsidRPr="00BC0898">
        <w:rPr>
          <w:rFonts w:cstheme="minorHAnsi"/>
          <w:lang w:val="en-US"/>
        </w:rPr>
        <w:t xml:space="preserve">Appendix </w:t>
      </w:r>
      <w:r w:rsidR="00B42089">
        <w:rPr>
          <w:rFonts w:cstheme="minorHAnsi"/>
          <w:lang w:val="en-US"/>
        </w:rPr>
        <w:t>1</w:t>
      </w:r>
      <w:r w:rsidRPr="00BC0898">
        <w:rPr>
          <w:rFonts w:cstheme="minorHAnsi"/>
          <w:lang w:val="en-US"/>
        </w:rPr>
        <w:t xml:space="preserve"> –</w:t>
      </w:r>
      <w:r>
        <w:rPr>
          <w:rFonts w:cstheme="minorHAnsi"/>
          <w:lang w:val="en-US"/>
        </w:rPr>
        <w:t xml:space="preserve"> </w:t>
      </w:r>
      <w:r w:rsidR="00B42089">
        <w:rPr>
          <w:rFonts w:cstheme="minorHAnsi"/>
          <w:lang w:val="en-US"/>
        </w:rPr>
        <w:t>Summary Chronology of Activities Related to Agricultural Policies of the NEP</w:t>
      </w:r>
    </w:p>
    <w:p w14:paraId="6372E229" w14:textId="77777777" w:rsidR="001F1895" w:rsidRDefault="001F1895" w:rsidP="00E70073">
      <w:pPr>
        <w:rPr>
          <w:rFonts w:cstheme="minorHAnsi"/>
          <w:b/>
          <w:bCs/>
          <w:lang w:val="en-US"/>
        </w:rPr>
      </w:pPr>
      <w:bookmarkStart w:id="0" w:name="_Hlk70081498"/>
      <w:r>
        <w:rPr>
          <w:rFonts w:cstheme="minorHAnsi"/>
          <w:b/>
          <w:bCs/>
          <w:lang w:val="en-US"/>
        </w:rPr>
        <w:br w:type="page"/>
      </w:r>
    </w:p>
    <w:p w14:paraId="30444C97" w14:textId="495B2C24" w:rsidR="00AE1BAF" w:rsidRDefault="00337798" w:rsidP="00E70073">
      <w:pPr>
        <w:pStyle w:val="Heading2"/>
        <w:spacing w:line="276" w:lineRule="auto"/>
        <w:jc w:val="center"/>
        <w:rPr>
          <w:lang w:val="en-US"/>
        </w:rPr>
      </w:pPr>
      <w:r>
        <w:rPr>
          <w:lang w:val="en-US"/>
        </w:rPr>
        <w:lastRenderedPageBreak/>
        <w:t>APPENDIX</w:t>
      </w:r>
      <w:r w:rsidR="008F30D3">
        <w:rPr>
          <w:lang w:val="en-US"/>
        </w:rPr>
        <w:t xml:space="preserve"> </w:t>
      </w:r>
      <w:r w:rsidR="00CB0B37">
        <w:rPr>
          <w:lang w:val="en-US"/>
        </w:rPr>
        <w:t>1</w:t>
      </w:r>
    </w:p>
    <w:p w14:paraId="49B93479" w14:textId="77777777" w:rsidR="001F1895" w:rsidRDefault="001F1895" w:rsidP="00E70073">
      <w:pPr>
        <w:spacing w:after="0"/>
        <w:jc w:val="center"/>
        <w:rPr>
          <w:rFonts w:cstheme="minorHAnsi"/>
          <w:b/>
          <w:bCs/>
          <w:lang w:val="en-US"/>
        </w:rPr>
      </w:pPr>
    </w:p>
    <w:p w14:paraId="1A392943" w14:textId="2C625E9D" w:rsidR="0078718D" w:rsidRDefault="00905467" w:rsidP="00E70073">
      <w:pPr>
        <w:pStyle w:val="Heading3"/>
      </w:pPr>
      <w:r>
        <w:t xml:space="preserve">Summary Chronology of Activities Related to Agricultural </w:t>
      </w:r>
      <w:r w:rsidR="009638ED">
        <w:t>Policies of the NEP</w:t>
      </w:r>
      <w:r w:rsidR="00337798" w:rsidRPr="00337798">
        <w:tab/>
      </w:r>
    </w:p>
    <w:p w14:paraId="4E1505A1" w14:textId="5F4F2400" w:rsidR="00905467" w:rsidRDefault="00905467" w:rsidP="00905467">
      <w:pPr>
        <w:pStyle w:val="ListParagraph"/>
        <w:numPr>
          <w:ilvl w:val="0"/>
          <w:numId w:val="14"/>
        </w:numPr>
        <w:rPr>
          <w:lang w:val="en-US"/>
        </w:rPr>
      </w:pPr>
      <w:bookmarkStart w:id="1" w:name="_Hlk25924663"/>
      <w:r w:rsidRPr="00972ADC">
        <w:rPr>
          <w:u w:val="single"/>
          <w:lang w:val="en-US"/>
        </w:rPr>
        <w:t>2016</w:t>
      </w:r>
      <w:r>
        <w:rPr>
          <w:lang w:val="en-US"/>
        </w:rPr>
        <w:t>:  Ministry of Agriculture, Food and Rural Affairs releases “Guidelines on Permitted Uses in Ontario’s Prime Agricultural Areas”.  These guidelines are intended to support interpretation of the Provincial Policy Statement agricultural policies.  The guidelines clear in stating they are best practices and are not prescribed standards that must be met.</w:t>
      </w:r>
      <w:r w:rsidR="00AF03DA">
        <w:rPr>
          <w:lang w:val="en-US"/>
        </w:rPr>
        <w:t xml:space="preserve">  Policies of the </w:t>
      </w:r>
      <w:r w:rsidR="00D723E0">
        <w:rPr>
          <w:lang w:val="en-US"/>
        </w:rPr>
        <w:t>NEP prevail.</w:t>
      </w:r>
    </w:p>
    <w:p w14:paraId="1785C32A" w14:textId="4BDDF4A5" w:rsidR="00905467" w:rsidRPr="009774C4" w:rsidRDefault="009638ED" w:rsidP="00905467">
      <w:pPr>
        <w:pStyle w:val="ListParagraph"/>
        <w:numPr>
          <w:ilvl w:val="0"/>
          <w:numId w:val="14"/>
        </w:numPr>
        <w:rPr>
          <w:lang w:val="en-US"/>
        </w:rPr>
      </w:pPr>
      <w:r>
        <w:rPr>
          <w:u w:val="single"/>
          <w:lang w:val="en-US"/>
        </w:rPr>
        <w:t>June</w:t>
      </w:r>
      <w:r w:rsidR="00905467">
        <w:rPr>
          <w:u w:val="single"/>
          <w:lang w:val="en-US"/>
        </w:rPr>
        <w:t xml:space="preserve"> 2017</w:t>
      </w:r>
      <w:r w:rsidR="00905467" w:rsidRPr="00B36912">
        <w:rPr>
          <w:lang w:val="en-US"/>
        </w:rPr>
        <w:t>:</w:t>
      </w:r>
      <w:r w:rsidR="00905467">
        <w:rPr>
          <w:lang w:val="en-US"/>
        </w:rPr>
        <w:t xml:space="preserve">  New NEP is released.  New agricultural policies related to agriculture (</w:t>
      </w:r>
      <w:r w:rsidR="00692923">
        <w:rPr>
          <w:lang w:val="en-US"/>
        </w:rPr>
        <w:t>e.g.,</w:t>
      </w:r>
      <w:r w:rsidR="00905467">
        <w:rPr>
          <w:lang w:val="en-US"/>
        </w:rPr>
        <w:t xml:space="preserve"> On-Farm Diversified Uses, Agriculture-Related Uses).</w:t>
      </w:r>
    </w:p>
    <w:p w14:paraId="019CD54A" w14:textId="503C148A" w:rsidR="00905467" w:rsidRDefault="00905467" w:rsidP="00905467">
      <w:pPr>
        <w:pStyle w:val="ListParagraph"/>
        <w:numPr>
          <w:ilvl w:val="0"/>
          <w:numId w:val="14"/>
        </w:numPr>
        <w:rPr>
          <w:lang w:val="en-US"/>
        </w:rPr>
      </w:pPr>
      <w:r w:rsidRPr="009654D5">
        <w:rPr>
          <w:u w:val="single"/>
          <w:lang w:val="en-US"/>
        </w:rPr>
        <w:t>November 2017</w:t>
      </w:r>
      <w:r>
        <w:rPr>
          <w:lang w:val="en-US"/>
        </w:rPr>
        <w:t xml:space="preserve">:  Commission passes a motion directing staff to investigate how the NEP can address agriculture-related uses, including rural density transfer, farm labour housing, secondary dwelling relating to the agricultural industry, farm succession planning, agricultural labour shortages, and other issues applicable to the NEC involvement with agricultural lands.  </w:t>
      </w:r>
    </w:p>
    <w:p w14:paraId="78AF1FBE" w14:textId="2BECD770" w:rsidR="00905467" w:rsidRPr="003938D9" w:rsidRDefault="00905467" w:rsidP="00905467">
      <w:pPr>
        <w:pStyle w:val="ListParagraph"/>
        <w:numPr>
          <w:ilvl w:val="0"/>
          <w:numId w:val="14"/>
        </w:numPr>
        <w:rPr>
          <w:lang w:val="en-US"/>
        </w:rPr>
      </w:pPr>
      <w:r>
        <w:rPr>
          <w:u w:val="single"/>
          <w:lang w:val="en-US"/>
        </w:rPr>
        <w:t>November 2017</w:t>
      </w:r>
      <w:r w:rsidRPr="00822EF6">
        <w:rPr>
          <w:lang w:val="en-US"/>
        </w:rPr>
        <w:t>:</w:t>
      </w:r>
      <w:r>
        <w:rPr>
          <w:lang w:val="en-US"/>
        </w:rPr>
        <w:t xml:space="preserve">   Chair writes Minister informing of the Commission’s concerns and motions regarding the NEP’s agricultural policies.</w:t>
      </w:r>
    </w:p>
    <w:p w14:paraId="7161AE23" w14:textId="3811AD58" w:rsidR="00905467" w:rsidRDefault="00905467" w:rsidP="00905467">
      <w:pPr>
        <w:pStyle w:val="ListParagraph"/>
        <w:numPr>
          <w:ilvl w:val="0"/>
          <w:numId w:val="14"/>
        </w:numPr>
        <w:rPr>
          <w:lang w:val="en-US"/>
        </w:rPr>
      </w:pPr>
      <w:r>
        <w:rPr>
          <w:u w:val="single"/>
          <w:lang w:val="en-US"/>
        </w:rPr>
        <w:t>February 2018</w:t>
      </w:r>
      <w:r w:rsidRPr="00190D9D">
        <w:rPr>
          <w:lang w:val="en-US"/>
        </w:rPr>
        <w:t>:</w:t>
      </w:r>
      <w:r>
        <w:rPr>
          <w:lang w:val="en-US"/>
        </w:rPr>
        <w:t xml:space="preserve">  Province releases “Implementation Procedures for the Agricultural System in Ontario’s Greater Golden Horseshoe” that includes Agricultural System mapping.</w:t>
      </w:r>
    </w:p>
    <w:p w14:paraId="4B6272AB" w14:textId="76C077ED" w:rsidR="00905467" w:rsidRDefault="00905467" w:rsidP="00905467">
      <w:pPr>
        <w:pStyle w:val="ListParagraph"/>
        <w:numPr>
          <w:ilvl w:val="0"/>
          <w:numId w:val="14"/>
        </w:numPr>
        <w:rPr>
          <w:lang w:val="en-US"/>
        </w:rPr>
      </w:pPr>
      <w:r>
        <w:rPr>
          <w:u w:val="single"/>
          <w:lang w:val="en-US"/>
        </w:rPr>
        <w:t>March 2018</w:t>
      </w:r>
      <w:r w:rsidRPr="003938D9">
        <w:rPr>
          <w:lang w:val="en-US"/>
        </w:rPr>
        <w:t>:</w:t>
      </w:r>
      <w:r>
        <w:rPr>
          <w:lang w:val="en-US"/>
        </w:rPr>
        <w:t xml:space="preserve">  Minister writes Chair advising of extensive consultation and consideration of provincial policies in development and approval of new </w:t>
      </w:r>
      <w:r w:rsidR="00120A02">
        <w:rPr>
          <w:lang w:val="en-US"/>
        </w:rPr>
        <w:t>NEP and</w:t>
      </w:r>
      <w:r>
        <w:rPr>
          <w:lang w:val="en-US"/>
        </w:rPr>
        <w:t xml:space="preserve"> expresses concern with re-examining NEP policies so soon after a comprehensive review.  Minister requests Commission allow for the updated plan to be implemented over a three-year period and report back with an assessment of the lessons learned through early implementation.  The Minister also reminded the Commission of their mandate to uphold the purpose and objectives of the Plan and Act, and to make decisions in accordance with the policies of the Plan.</w:t>
      </w:r>
    </w:p>
    <w:p w14:paraId="1AD5F100" w14:textId="73FEAE7C" w:rsidR="00905467" w:rsidRDefault="00905467" w:rsidP="00905467">
      <w:pPr>
        <w:pStyle w:val="ListParagraph"/>
        <w:numPr>
          <w:ilvl w:val="0"/>
          <w:numId w:val="14"/>
        </w:numPr>
        <w:rPr>
          <w:lang w:val="en-US"/>
        </w:rPr>
      </w:pPr>
      <w:r w:rsidRPr="009654D5">
        <w:rPr>
          <w:u w:val="single"/>
          <w:lang w:val="en-US"/>
        </w:rPr>
        <w:t>April 2018</w:t>
      </w:r>
      <w:r>
        <w:rPr>
          <w:lang w:val="en-US"/>
        </w:rPr>
        <w:t xml:space="preserve">:  </w:t>
      </w:r>
    </w:p>
    <w:p w14:paraId="1C8B4F8A" w14:textId="77777777" w:rsidR="00905467" w:rsidRDefault="00905467" w:rsidP="00905467">
      <w:pPr>
        <w:pStyle w:val="ListParagraph"/>
        <w:numPr>
          <w:ilvl w:val="1"/>
          <w:numId w:val="14"/>
        </w:numPr>
        <w:rPr>
          <w:lang w:val="en-US"/>
        </w:rPr>
      </w:pPr>
      <w:r>
        <w:rPr>
          <w:lang w:val="en-US"/>
        </w:rPr>
        <w:t xml:space="preserve">NEC staff prepare a report to provide information and context related to the Commission’s motion, including background regarding Ontario’s land use planning framework, the recently completed Coordinated Provincial Land Use Planning Review, and the </w:t>
      </w:r>
      <w:r>
        <w:rPr>
          <w:i/>
          <w:iCs/>
          <w:lang w:val="en-US"/>
        </w:rPr>
        <w:t xml:space="preserve">Niagara Escarpment Planning and Development Act </w:t>
      </w:r>
      <w:r>
        <w:rPr>
          <w:lang w:val="en-US"/>
        </w:rPr>
        <w:t>(NEPDA).  The report highlights that guidelines and policies released by the Province need to be considered within the NEP through the lens of the purpose and objectives of the NEPDA and NEP.</w:t>
      </w:r>
    </w:p>
    <w:p w14:paraId="27772000" w14:textId="4BD60F8B" w:rsidR="00905467" w:rsidRDefault="00905467" w:rsidP="00905467">
      <w:pPr>
        <w:pStyle w:val="ListParagraph"/>
        <w:numPr>
          <w:ilvl w:val="1"/>
          <w:numId w:val="14"/>
        </w:numPr>
        <w:rPr>
          <w:lang w:val="en-US"/>
        </w:rPr>
      </w:pPr>
      <w:r>
        <w:rPr>
          <w:lang w:val="en-US"/>
        </w:rPr>
        <w:t xml:space="preserve">Commission rescinds motion from </w:t>
      </w:r>
      <w:r w:rsidR="009638ED">
        <w:rPr>
          <w:lang w:val="en-US"/>
        </w:rPr>
        <w:t>November</w:t>
      </w:r>
      <w:r>
        <w:rPr>
          <w:lang w:val="en-US"/>
        </w:rPr>
        <w:t xml:space="preserve"> 2017 after considering letter from Minister</w:t>
      </w:r>
      <w:r w:rsidR="00F439E8">
        <w:rPr>
          <w:lang w:val="en-US"/>
        </w:rPr>
        <w:t>.</w:t>
      </w:r>
    </w:p>
    <w:p w14:paraId="1630B5F8" w14:textId="6D834D3F" w:rsidR="00535E13" w:rsidRPr="00535E13" w:rsidRDefault="00535E13" w:rsidP="009638ED">
      <w:pPr>
        <w:pStyle w:val="ListParagraph"/>
        <w:numPr>
          <w:ilvl w:val="0"/>
          <w:numId w:val="14"/>
        </w:numPr>
        <w:rPr>
          <w:lang w:val="en-US"/>
        </w:rPr>
      </w:pPr>
      <w:r w:rsidRPr="00535E13">
        <w:rPr>
          <w:u w:val="single"/>
          <w:lang w:val="en-US"/>
        </w:rPr>
        <w:lastRenderedPageBreak/>
        <w:t>February 2020</w:t>
      </w:r>
      <w:r>
        <w:rPr>
          <w:lang w:val="en-US"/>
        </w:rPr>
        <w:t xml:space="preserve">:  Region of Niagara </w:t>
      </w:r>
      <w:r w:rsidR="005F46E2">
        <w:rPr>
          <w:lang w:val="en-US"/>
        </w:rPr>
        <w:t>has planning consultant undertake a review of NEP agricultural policies and implications to wineries.  Consultant</w:t>
      </w:r>
      <w:r w:rsidR="00455859">
        <w:rPr>
          <w:lang w:val="en-US"/>
        </w:rPr>
        <w:t xml:space="preserve"> identifies several challenges with NEP policies</w:t>
      </w:r>
      <w:r w:rsidR="0045574C">
        <w:rPr>
          <w:lang w:val="en-US"/>
        </w:rPr>
        <w:t>.</w:t>
      </w:r>
    </w:p>
    <w:p w14:paraId="0EBBA337" w14:textId="616D85BC" w:rsidR="009638ED" w:rsidRDefault="00EC0D05" w:rsidP="009638ED">
      <w:pPr>
        <w:pStyle w:val="ListParagraph"/>
        <w:numPr>
          <w:ilvl w:val="0"/>
          <w:numId w:val="14"/>
        </w:numPr>
        <w:rPr>
          <w:lang w:val="en-US"/>
        </w:rPr>
      </w:pPr>
      <w:r>
        <w:rPr>
          <w:u w:val="single"/>
          <w:lang w:val="en-US"/>
        </w:rPr>
        <w:t>October</w:t>
      </w:r>
      <w:r w:rsidR="001B278C" w:rsidRPr="005D009A">
        <w:rPr>
          <w:u w:val="single"/>
          <w:lang w:val="en-US"/>
        </w:rPr>
        <w:t xml:space="preserve"> 2020</w:t>
      </w:r>
      <w:r w:rsidR="005D009A">
        <w:rPr>
          <w:lang w:val="en-US"/>
        </w:rPr>
        <w:t>:</w:t>
      </w:r>
      <w:r w:rsidR="001B278C">
        <w:rPr>
          <w:lang w:val="en-US"/>
        </w:rPr>
        <w:t xml:space="preserve"> </w:t>
      </w:r>
      <w:r w:rsidR="005D009A">
        <w:rPr>
          <w:lang w:val="en-US"/>
        </w:rPr>
        <w:t>Chair and Director meet with Ontario Craft Winery Council, who express concerns that NEP agricultural policies do not adequately support the wine sector.</w:t>
      </w:r>
    </w:p>
    <w:p w14:paraId="5D007181" w14:textId="624637EA" w:rsidR="005D009A" w:rsidRDefault="005D009A" w:rsidP="009638ED">
      <w:pPr>
        <w:pStyle w:val="ListParagraph"/>
        <w:numPr>
          <w:ilvl w:val="0"/>
          <w:numId w:val="14"/>
        </w:numPr>
        <w:rPr>
          <w:lang w:val="en-US"/>
        </w:rPr>
      </w:pPr>
      <w:r>
        <w:rPr>
          <w:u w:val="single"/>
          <w:lang w:val="en-US"/>
        </w:rPr>
        <w:t>June 202</w:t>
      </w:r>
      <w:r w:rsidR="00DE4D0D">
        <w:rPr>
          <w:u w:val="single"/>
          <w:lang w:val="en-US"/>
        </w:rPr>
        <w:t xml:space="preserve">1: </w:t>
      </w:r>
      <w:r w:rsidR="00DE4D0D">
        <w:rPr>
          <w:lang w:val="en-US"/>
        </w:rPr>
        <w:t xml:space="preserve">Director and senior staff meet with Ontario Craft Winery Council to </w:t>
      </w:r>
      <w:r w:rsidR="00036F1D">
        <w:rPr>
          <w:lang w:val="en-US"/>
        </w:rPr>
        <w:t>share information on development of Policy Guidance.  Council requests opportunity to provide further input</w:t>
      </w:r>
      <w:r w:rsidR="00E61655">
        <w:rPr>
          <w:lang w:val="en-US"/>
        </w:rPr>
        <w:t xml:space="preserve"> as Policy Guidance is being developed.</w:t>
      </w:r>
    </w:p>
    <w:p w14:paraId="56EC47CD" w14:textId="1010D5FD" w:rsidR="001B278C" w:rsidRDefault="00E61655" w:rsidP="00E61655">
      <w:pPr>
        <w:pStyle w:val="ListParagraph"/>
        <w:numPr>
          <w:ilvl w:val="0"/>
          <w:numId w:val="14"/>
        </w:numPr>
        <w:rPr>
          <w:lang w:val="en-US"/>
        </w:rPr>
      </w:pPr>
      <w:r w:rsidRPr="00464E2B">
        <w:rPr>
          <w:u w:val="single"/>
          <w:lang w:val="en-US"/>
        </w:rPr>
        <w:t>July 2021</w:t>
      </w:r>
      <w:r>
        <w:rPr>
          <w:u w:val="single"/>
          <w:lang w:val="en-US"/>
        </w:rPr>
        <w:t>:</w:t>
      </w:r>
      <w:r w:rsidR="00464E2B">
        <w:rPr>
          <w:lang w:val="en-US"/>
        </w:rPr>
        <w:t xml:space="preserve">  NEC deals with two Development Permit applications proposing On-Farm Diversified Uses</w:t>
      </w:r>
      <w:r w:rsidR="00444F81">
        <w:rPr>
          <w:lang w:val="en-US"/>
        </w:rPr>
        <w:t xml:space="preserve"> (lavender agritourism operations).  Staff recommendation is refusal as OFDUs are not permitted withing Escarpment Protection Areas outside</w:t>
      </w:r>
      <w:r w:rsidR="003C5F2E">
        <w:rPr>
          <w:lang w:val="en-US"/>
        </w:rPr>
        <w:t xml:space="preserve"> of Agricultural Areas (which the properties are not).  Commission defers</w:t>
      </w:r>
      <w:r w:rsidR="00E6763F">
        <w:rPr>
          <w:lang w:val="en-US"/>
        </w:rPr>
        <w:t xml:space="preserve"> applications to September meeting and request staff evaluate applications based on relevant Development Criteri</w:t>
      </w:r>
      <w:r w:rsidR="00A3162C">
        <w:rPr>
          <w:lang w:val="en-US"/>
        </w:rPr>
        <w:t>a.</w:t>
      </w:r>
    </w:p>
    <w:p w14:paraId="70EDF910" w14:textId="3C8B9028" w:rsidR="00A3162C" w:rsidRDefault="00A3162C" w:rsidP="00E61655">
      <w:pPr>
        <w:pStyle w:val="ListParagraph"/>
        <w:numPr>
          <w:ilvl w:val="0"/>
          <w:numId w:val="14"/>
        </w:numPr>
        <w:rPr>
          <w:lang w:val="en-US"/>
        </w:rPr>
      </w:pPr>
      <w:r>
        <w:rPr>
          <w:u w:val="single"/>
          <w:lang w:val="en-US"/>
        </w:rPr>
        <w:t>July 2021:</w:t>
      </w:r>
      <w:r>
        <w:rPr>
          <w:lang w:val="en-US"/>
        </w:rPr>
        <w:t xml:space="preserve">  Several Commissioners raise concern regarding agricultural policies and request opportunity to discuss.  Chair</w:t>
      </w:r>
      <w:r w:rsidR="00A162BF">
        <w:rPr>
          <w:lang w:val="en-US"/>
        </w:rPr>
        <w:t xml:space="preserve"> recommends discussion at a Commission meeting so that all members can be engaged in this important topic.</w:t>
      </w:r>
    </w:p>
    <w:p w14:paraId="51261111" w14:textId="2BFF6993" w:rsidR="00A162BF" w:rsidRPr="00B308C4" w:rsidRDefault="00A162BF" w:rsidP="00535E13">
      <w:pPr>
        <w:pStyle w:val="ListParagraph"/>
        <w:rPr>
          <w:lang w:val="en-US"/>
        </w:rPr>
      </w:pPr>
    </w:p>
    <w:bookmarkEnd w:id="0"/>
    <w:bookmarkEnd w:id="1"/>
    <w:p w14:paraId="38930958" w14:textId="3DCBE5D1" w:rsidR="000872F5" w:rsidRDefault="000872F5" w:rsidP="00905467">
      <w:pPr>
        <w:spacing w:after="0"/>
        <w:contextualSpacing/>
        <w:rPr>
          <w:rFonts w:ascii="Arial" w:hAnsi="Arial" w:cs="Arial"/>
          <w:szCs w:val="24"/>
        </w:rPr>
      </w:pPr>
    </w:p>
    <w:sectPr w:rsidR="000872F5" w:rsidSect="00F2077F">
      <w:headerReference w:type="even" r:id="rId11"/>
      <w:headerReference w:type="default" r:id="rId12"/>
      <w:footerReference w:type="even" r:id="rId13"/>
      <w:footerReference w:type="default" r:id="rId14"/>
      <w:headerReference w:type="first" r:id="rId15"/>
      <w:footerReference w:type="first" r:id="rId16"/>
      <w:pgSz w:w="12240" w:h="15840" w:code="1"/>
      <w:pgMar w:top="1531" w:right="1247" w:bottom="158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888E" w14:textId="77777777" w:rsidR="00AC06F8" w:rsidRDefault="00AC06F8" w:rsidP="00F72078">
      <w:pPr>
        <w:spacing w:after="0" w:line="240" w:lineRule="auto"/>
      </w:pPr>
      <w:r>
        <w:separator/>
      </w:r>
    </w:p>
  </w:endnote>
  <w:endnote w:type="continuationSeparator" w:id="0">
    <w:p w14:paraId="13129F7C" w14:textId="77777777" w:rsidR="00AC06F8" w:rsidRDefault="00AC06F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7FF6" w14:textId="77777777" w:rsidR="00AC06F8" w:rsidRDefault="00AC06F8" w:rsidP="00F72078">
      <w:pPr>
        <w:spacing w:after="0" w:line="240" w:lineRule="auto"/>
      </w:pPr>
      <w:r>
        <w:separator/>
      </w:r>
    </w:p>
  </w:footnote>
  <w:footnote w:type="continuationSeparator" w:id="0">
    <w:p w14:paraId="40BB30EF" w14:textId="77777777" w:rsidR="00AC06F8" w:rsidRDefault="00AC06F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AD3"/>
    <w:multiLevelType w:val="multilevel"/>
    <w:tmpl w:val="969C5E78"/>
    <w:lvl w:ilvl="0">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B55761"/>
    <w:multiLevelType w:val="hybridMultilevel"/>
    <w:tmpl w:val="C9927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3A2906"/>
    <w:multiLevelType w:val="hybridMultilevel"/>
    <w:tmpl w:val="1B92350A"/>
    <w:lvl w:ilvl="0" w:tplc="0D74A18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4356B0"/>
    <w:multiLevelType w:val="hybridMultilevel"/>
    <w:tmpl w:val="C37AC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AA5A16"/>
    <w:multiLevelType w:val="hybridMultilevel"/>
    <w:tmpl w:val="6EBA6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E43920"/>
    <w:multiLevelType w:val="hybridMultilevel"/>
    <w:tmpl w:val="52CE03B2"/>
    <w:lvl w:ilvl="0" w:tplc="0D74A18A">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940F7A"/>
    <w:multiLevelType w:val="hybridMultilevel"/>
    <w:tmpl w:val="B95A3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CB094F"/>
    <w:multiLevelType w:val="hybridMultilevel"/>
    <w:tmpl w:val="9D1A5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4C7E4B"/>
    <w:multiLevelType w:val="hybridMultilevel"/>
    <w:tmpl w:val="902C7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C4F41DD"/>
    <w:multiLevelType w:val="hybridMultilevel"/>
    <w:tmpl w:val="17B8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AB44D8"/>
    <w:multiLevelType w:val="hybridMultilevel"/>
    <w:tmpl w:val="AD621E36"/>
    <w:lvl w:ilvl="0" w:tplc="0D74A18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4"/>
  </w:num>
  <w:num w:numId="5">
    <w:abstractNumId w:val="2"/>
  </w:num>
  <w:num w:numId="6">
    <w:abstractNumId w:val="11"/>
  </w:num>
  <w:num w:numId="7">
    <w:abstractNumId w:val="1"/>
  </w:num>
  <w:num w:numId="8">
    <w:abstractNumId w:val="13"/>
  </w:num>
  <w:num w:numId="9">
    <w:abstractNumId w:val="5"/>
  </w:num>
  <w:num w:numId="10">
    <w:abstractNumId w:val="18"/>
  </w:num>
  <w:num w:numId="11">
    <w:abstractNumId w:val="16"/>
  </w:num>
  <w:num w:numId="12">
    <w:abstractNumId w:val="6"/>
  </w:num>
  <w:num w:numId="13">
    <w:abstractNumId w:val="9"/>
  </w:num>
  <w:num w:numId="14">
    <w:abstractNumId w:val="15"/>
  </w:num>
  <w:num w:numId="15">
    <w:abstractNumId w:val="10"/>
  </w:num>
  <w:num w:numId="16">
    <w:abstractNumId w:val="14"/>
  </w:num>
  <w:num w:numId="17">
    <w:abstractNumId w:val="20"/>
  </w:num>
  <w:num w:numId="18">
    <w:abstractNumId w:val="21"/>
  </w:num>
  <w:num w:numId="19">
    <w:abstractNumId w:val="7"/>
  </w:num>
  <w:num w:numId="20">
    <w:abstractNumId w:val="1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26DF4"/>
    <w:rsid w:val="0003075D"/>
    <w:rsid w:val="00035A2C"/>
    <w:rsid w:val="00036F1D"/>
    <w:rsid w:val="00041563"/>
    <w:rsid w:val="00041D80"/>
    <w:rsid w:val="00044B3A"/>
    <w:rsid w:val="000501F5"/>
    <w:rsid w:val="00050B41"/>
    <w:rsid w:val="000872F5"/>
    <w:rsid w:val="00093E48"/>
    <w:rsid w:val="00094D34"/>
    <w:rsid w:val="000A0119"/>
    <w:rsid w:val="000A03C4"/>
    <w:rsid w:val="000A1A28"/>
    <w:rsid w:val="000B249F"/>
    <w:rsid w:val="000C1590"/>
    <w:rsid w:val="000D3A0A"/>
    <w:rsid w:val="000D7D86"/>
    <w:rsid w:val="000E087C"/>
    <w:rsid w:val="000E249F"/>
    <w:rsid w:val="000E3494"/>
    <w:rsid w:val="000F179D"/>
    <w:rsid w:val="000F3ED9"/>
    <w:rsid w:val="000F5131"/>
    <w:rsid w:val="000F75BB"/>
    <w:rsid w:val="0010378D"/>
    <w:rsid w:val="00110437"/>
    <w:rsid w:val="00110F14"/>
    <w:rsid w:val="00115A16"/>
    <w:rsid w:val="00120A02"/>
    <w:rsid w:val="001227D9"/>
    <w:rsid w:val="00130AEB"/>
    <w:rsid w:val="001408EF"/>
    <w:rsid w:val="00140DF5"/>
    <w:rsid w:val="00141B96"/>
    <w:rsid w:val="001430D4"/>
    <w:rsid w:val="00152F05"/>
    <w:rsid w:val="001565CF"/>
    <w:rsid w:val="001603D9"/>
    <w:rsid w:val="00183482"/>
    <w:rsid w:val="00186B40"/>
    <w:rsid w:val="001908DB"/>
    <w:rsid w:val="00190D9D"/>
    <w:rsid w:val="00194885"/>
    <w:rsid w:val="001A4B64"/>
    <w:rsid w:val="001B278C"/>
    <w:rsid w:val="001B3106"/>
    <w:rsid w:val="001B56D9"/>
    <w:rsid w:val="001C1193"/>
    <w:rsid w:val="001C1E05"/>
    <w:rsid w:val="001C365C"/>
    <w:rsid w:val="001C37B4"/>
    <w:rsid w:val="001D19C8"/>
    <w:rsid w:val="001D6015"/>
    <w:rsid w:val="001D7104"/>
    <w:rsid w:val="001D76A0"/>
    <w:rsid w:val="001E5187"/>
    <w:rsid w:val="001F129E"/>
    <w:rsid w:val="001F1895"/>
    <w:rsid w:val="00202234"/>
    <w:rsid w:val="00203E14"/>
    <w:rsid w:val="00205E18"/>
    <w:rsid w:val="0021245B"/>
    <w:rsid w:val="0021264F"/>
    <w:rsid w:val="002135BD"/>
    <w:rsid w:val="00223582"/>
    <w:rsid w:val="00225BE4"/>
    <w:rsid w:val="00227C52"/>
    <w:rsid w:val="00246BB9"/>
    <w:rsid w:val="00254BFD"/>
    <w:rsid w:val="00260246"/>
    <w:rsid w:val="002614DC"/>
    <w:rsid w:val="00280A02"/>
    <w:rsid w:val="00280A55"/>
    <w:rsid w:val="00282BC6"/>
    <w:rsid w:val="00293E99"/>
    <w:rsid w:val="002A1104"/>
    <w:rsid w:val="002A2935"/>
    <w:rsid w:val="002A59B8"/>
    <w:rsid w:val="002B6A43"/>
    <w:rsid w:val="002C4D1C"/>
    <w:rsid w:val="002C59F9"/>
    <w:rsid w:val="002D0500"/>
    <w:rsid w:val="002D5DA5"/>
    <w:rsid w:val="002E19B4"/>
    <w:rsid w:val="002E1B75"/>
    <w:rsid w:val="002E6FF6"/>
    <w:rsid w:val="002E7794"/>
    <w:rsid w:val="002F129C"/>
    <w:rsid w:val="002F396D"/>
    <w:rsid w:val="002F3CF2"/>
    <w:rsid w:val="002F6B85"/>
    <w:rsid w:val="003009E3"/>
    <w:rsid w:val="00303D78"/>
    <w:rsid w:val="00304308"/>
    <w:rsid w:val="00317F1F"/>
    <w:rsid w:val="003221BD"/>
    <w:rsid w:val="00322D08"/>
    <w:rsid w:val="00323C8E"/>
    <w:rsid w:val="00337798"/>
    <w:rsid w:val="0035152F"/>
    <w:rsid w:val="00357BF5"/>
    <w:rsid w:val="00363A81"/>
    <w:rsid w:val="0036413B"/>
    <w:rsid w:val="003717CB"/>
    <w:rsid w:val="00392C66"/>
    <w:rsid w:val="003938D9"/>
    <w:rsid w:val="003A1F0D"/>
    <w:rsid w:val="003B457C"/>
    <w:rsid w:val="003C544A"/>
    <w:rsid w:val="003C5F2E"/>
    <w:rsid w:val="003C7AFB"/>
    <w:rsid w:val="003D04E3"/>
    <w:rsid w:val="003D3D9F"/>
    <w:rsid w:val="003D61B3"/>
    <w:rsid w:val="003E3D31"/>
    <w:rsid w:val="003F3509"/>
    <w:rsid w:val="00402C00"/>
    <w:rsid w:val="00404C1A"/>
    <w:rsid w:val="00414A2C"/>
    <w:rsid w:val="0041558E"/>
    <w:rsid w:val="00423446"/>
    <w:rsid w:val="00444F81"/>
    <w:rsid w:val="00451119"/>
    <w:rsid w:val="0045574C"/>
    <w:rsid w:val="00455859"/>
    <w:rsid w:val="00460F29"/>
    <w:rsid w:val="00464E2B"/>
    <w:rsid w:val="00466BB9"/>
    <w:rsid w:val="00467B13"/>
    <w:rsid w:val="00473056"/>
    <w:rsid w:val="00482248"/>
    <w:rsid w:val="00487378"/>
    <w:rsid w:val="00487ED5"/>
    <w:rsid w:val="004965AF"/>
    <w:rsid w:val="004A2238"/>
    <w:rsid w:val="004A392D"/>
    <w:rsid w:val="004B347D"/>
    <w:rsid w:val="004B68E9"/>
    <w:rsid w:val="004B69F7"/>
    <w:rsid w:val="004C40AC"/>
    <w:rsid w:val="004D0559"/>
    <w:rsid w:val="004D5EAC"/>
    <w:rsid w:val="004E636D"/>
    <w:rsid w:val="004E6398"/>
    <w:rsid w:val="004F1B03"/>
    <w:rsid w:val="004F20C3"/>
    <w:rsid w:val="004F3055"/>
    <w:rsid w:val="0050145F"/>
    <w:rsid w:val="00502936"/>
    <w:rsid w:val="005033A7"/>
    <w:rsid w:val="005104C7"/>
    <w:rsid w:val="0051411B"/>
    <w:rsid w:val="00514802"/>
    <w:rsid w:val="00521161"/>
    <w:rsid w:val="00523E5B"/>
    <w:rsid w:val="00525B30"/>
    <w:rsid w:val="00526FD9"/>
    <w:rsid w:val="00535E13"/>
    <w:rsid w:val="005441B7"/>
    <w:rsid w:val="00554131"/>
    <w:rsid w:val="005565A8"/>
    <w:rsid w:val="005605B8"/>
    <w:rsid w:val="00577354"/>
    <w:rsid w:val="0057735C"/>
    <w:rsid w:val="00593D1C"/>
    <w:rsid w:val="00595704"/>
    <w:rsid w:val="005A5E39"/>
    <w:rsid w:val="005A6BE5"/>
    <w:rsid w:val="005B0451"/>
    <w:rsid w:val="005B36D2"/>
    <w:rsid w:val="005B5D41"/>
    <w:rsid w:val="005B77B0"/>
    <w:rsid w:val="005B78BB"/>
    <w:rsid w:val="005C77F9"/>
    <w:rsid w:val="005D009A"/>
    <w:rsid w:val="005D30D3"/>
    <w:rsid w:val="005D3A2E"/>
    <w:rsid w:val="005E378C"/>
    <w:rsid w:val="005F0C05"/>
    <w:rsid w:val="005F46E2"/>
    <w:rsid w:val="0060350C"/>
    <w:rsid w:val="00605B36"/>
    <w:rsid w:val="00612309"/>
    <w:rsid w:val="00615D58"/>
    <w:rsid w:val="00624B02"/>
    <w:rsid w:val="00643B39"/>
    <w:rsid w:val="006475BC"/>
    <w:rsid w:val="00666886"/>
    <w:rsid w:val="0067492A"/>
    <w:rsid w:val="00674FB4"/>
    <w:rsid w:val="00686823"/>
    <w:rsid w:val="0069132C"/>
    <w:rsid w:val="00692923"/>
    <w:rsid w:val="00695E04"/>
    <w:rsid w:val="006A3C28"/>
    <w:rsid w:val="006B1079"/>
    <w:rsid w:val="006B4C9C"/>
    <w:rsid w:val="006B6CB7"/>
    <w:rsid w:val="006C7751"/>
    <w:rsid w:val="006C7B88"/>
    <w:rsid w:val="006D1805"/>
    <w:rsid w:val="006D5590"/>
    <w:rsid w:val="006D5A1C"/>
    <w:rsid w:val="006D72AA"/>
    <w:rsid w:val="006D7E5B"/>
    <w:rsid w:val="006E32B7"/>
    <w:rsid w:val="006F175B"/>
    <w:rsid w:val="006F317B"/>
    <w:rsid w:val="006F50E6"/>
    <w:rsid w:val="007154C9"/>
    <w:rsid w:val="00716C04"/>
    <w:rsid w:val="00716E5A"/>
    <w:rsid w:val="00723667"/>
    <w:rsid w:val="00725DDE"/>
    <w:rsid w:val="00726084"/>
    <w:rsid w:val="00731454"/>
    <w:rsid w:val="00734003"/>
    <w:rsid w:val="007439C6"/>
    <w:rsid w:val="00743EA7"/>
    <w:rsid w:val="007440E9"/>
    <w:rsid w:val="00752BC9"/>
    <w:rsid w:val="0076097D"/>
    <w:rsid w:val="00767151"/>
    <w:rsid w:val="007707B1"/>
    <w:rsid w:val="007825FD"/>
    <w:rsid w:val="00783F27"/>
    <w:rsid w:val="007847C9"/>
    <w:rsid w:val="0078718D"/>
    <w:rsid w:val="0079242F"/>
    <w:rsid w:val="00794C32"/>
    <w:rsid w:val="007A22CA"/>
    <w:rsid w:val="007B37E6"/>
    <w:rsid w:val="007B73C2"/>
    <w:rsid w:val="007D1D4F"/>
    <w:rsid w:val="007D6DDD"/>
    <w:rsid w:val="007E2632"/>
    <w:rsid w:val="007E6F42"/>
    <w:rsid w:val="007F147A"/>
    <w:rsid w:val="00800F82"/>
    <w:rsid w:val="008108F6"/>
    <w:rsid w:val="00812174"/>
    <w:rsid w:val="00822EF6"/>
    <w:rsid w:val="008259D3"/>
    <w:rsid w:val="00833463"/>
    <w:rsid w:val="008531D3"/>
    <w:rsid w:val="00860388"/>
    <w:rsid w:val="00863AF1"/>
    <w:rsid w:val="00872AA3"/>
    <w:rsid w:val="00886E78"/>
    <w:rsid w:val="008903C2"/>
    <w:rsid w:val="008A11AD"/>
    <w:rsid w:val="008B0444"/>
    <w:rsid w:val="008C153E"/>
    <w:rsid w:val="008C24B6"/>
    <w:rsid w:val="008D0CEB"/>
    <w:rsid w:val="008D1790"/>
    <w:rsid w:val="008D2189"/>
    <w:rsid w:val="008E13BD"/>
    <w:rsid w:val="008F01AD"/>
    <w:rsid w:val="008F30D3"/>
    <w:rsid w:val="00901DF5"/>
    <w:rsid w:val="00904733"/>
    <w:rsid w:val="00905467"/>
    <w:rsid w:val="009235D9"/>
    <w:rsid w:val="0092416C"/>
    <w:rsid w:val="00927A3E"/>
    <w:rsid w:val="00932E74"/>
    <w:rsid w:val="009440D3"/>
    <w:rsid w:val="009471BD"/>
    <w:rsid w:val="009550D9"/>
    <w:rsid w:val="00955E89"/>
    <w:rsid w:val="009638ED"/>
    <w:rsid w:val="009654D5"/>
    <w:rsid w:val="00972ADC"/>
    <w:rsid w:val="00973F54"/>
    <w:rsid w:val="00976239"/>
    <w:rsid w:val="009774C4"/>
    <w:rsid w:val="00980AF2"/>
    <w:rsid w:val="00992682"/>
    <w:rsid w:val="009A2BDA"/>
    <w:rsid w:val="009A71B7"/>
    <w:rsid w:val="009B1D63"/>
    <w:rsid w:val="009B65DE"/>
    <w:rsid w:val="009C08A4"/>
    <w:rsid w:val="009C44BE"/>
    <w:rsid w:val="009C6DC6"/>
    <w:rsid w:val="009D4126"/>
    <w:rsid w:val="009D4A85"/>
    <w:rsid w:val="009D726A"/>
    <w:rsid w:val="009E5D6E"/>
    <w:rsid w:val="009E78EA"/>
    <w:rsid w:val="00A07DE1"/>
    <w:rsid w:val="00A10621"/>
    <w:rsid w:val="00A162BF"/>
    <w:rsid w:val="00A27E58"/>
    <w:rsid w:val="00A3162C"/>
    <w:rsid w:val="00A3388F"/>
    <w:rsid w:val="00A34A66"/>
    <w:rsid w:val="00A44C27"/>
    <w:rsid w:val="00A45C91"/>
    <w:rsid w:val="00A4736E"/>
    <w:rsid w:val="00A47DF0"/>
    <w:rsid w:val="00A56929"/>
    <w:rsid w:val="00A72E1C"/>
    <w:rsid w:val="00A77E4C"/>
    <w:rsid w:val="00A84A0A"/>
    <w:rsid w:val="00A94193"/>
    <w:rsid w:val="00A95C72"/>
    <w:rsid w:val="00A963FC"/>
    <w:rsid w:val="00A96C5C"/>
    <w:rsid w:val="00AA6EF3"/>
    <w:rsid w:val="00AC06F8"/>
    <w:rsid w:val="00AC2E31"/>
    <w:rsid w:val="00AD6DD9"/>
    <w:rsid w:val="00AD6FD0"/>
    <w:rsid w:val="00AD71CE"/>
    <w:rsid w:val="00AE0518"/>
    <w:rsid w:val="00AE0C12"/>
    <w:rsid w:val="00AE1BAF"/>
    <w:rsid w:val="00AF03DA"/>
    <w:rsid w:val="00AF1937"/>
    <w:rsid w:val="00AF2A19"/>
    <w:rsid w:val="00AF3CF1"/>
    <w:rsid w:val="00B04CDC"/>
    <w:rsid w:val="00B12A66"/>
    <w:rsid w:val="00B13F96"/>
    <w:rsid w:val="00B24B82"/>
    <w:rsid w:val="00B308C4"/>
    <w:rsid w:val="00B30D8F"/>
    <w:rsid w:val="00B36912"/>
    <w:rsid w:val="00B40797"/>
    <w:rsid w:val="00B42089"/>
    <w:rsid w:val="00B452CF"/>
    <w:rsid w:val="00B534DF"/>
    <w:rsid w:val="00B61546"/>
    <w:rsid w:val="00B66913"/>
    <w:rsid w:val="00B72136"/>
    <w:rsid w:val="00B80ABF"/>
    <w:rsid w:val="00B842CF"/>
    <w:rsid w:val="00B93223"/>
    <w:rsid w:val="00B96046"/>
    <w:rsid w:val="00BA18DF"/>
    <w:rsid w:val="00BA1A3B"/>
    <w:rsid w:val="00BB5970"/>
    <w:rsid w:val="00BB5B58"/>
    <w:rsid w:val="00BB5CFA"/>
    <w:rsid w:val="00BC0898"/>
    <w:rsid w:val="00BF0C91"/>
    <w:rsid w:val="00BF7829"/>
    <w:rsid w:val="00C029AC"/>
    <w:rsid w:val="00C054E0"/>
    <w:rsid w:val="00C07D93"/>
    <w:rsid w:val="00C11B70"/>
    <w:rsid w:val="00C201E2"/>
    <w:rsid w:val="00C25B42"/>
    <w:rsid w:val="00C314F8"/>
    <w:rsid w:val="00C3609B"/>
    <w:rsid w:val="00C36BFA"/>
    <w:rsid w:val="00C42340"/>
    <w:rsid w:val="00C442F5"/>
    <w:rsid w:val="00C61246"/>
    <w:rsid w:val="00C759C2"/>
    <w:rsid w:val="00C76932"/>
    <w:rsid w:val="00C7752A"/>
    <w:rsid w:val="00C8088D"/>
    <w:rsid w:val="00C90961"/>
    <w:rsid w:val="00C93AB7"/>
    <w:rsid w:val="00C94510"/>
    <w:rsid w:val="00CA55D8"/>
    <w:rsid w:val="00CB0B37"/>
    <w:rsid w:val="00CB3D6D"/>
    <w:rsid w:val="00CB71EA"/>
    <w:rsid w:val="00CC034D"/>
    <w:rsid w:val="00CC7E13"/>
    <w:rsid w:val="00CD3CFA"/>
    <w:rsid w:val="00CD7ADE"/>
    <w:rsid w:val="00CE5876"/>
    <w:rsid w:val="00CF1378"/>
    <w:rsid w:val="00CF7DE1"/>
    <w:rsid w:val="00D010E9"/>
    <w:rsid w:val="00D033F6"/>
    <w:rsid w:val="00D04536"/>
    <w:rsid w:val="00D21797"/>
    <w:rsid w:val="00D31962"/>
    <w:rsid w:val="00D40A3A"/>
    <w:rsid w:val="00D420CF"/>
    <w:rsid w:val="00D460F8"/>
    <w:rsid w:val="00D651C8"/>
    <w:rsid w:val="00D723E0"/>
    <w:rsid w:val="00D83F89"/>
    <w:rsid w:val="00D851A4"/>
    <w:rsid w:val="00D93997"/>
    <w:rsid w:val="00DA4D92"/>
    <w:rsid w:val="00DB1032"/>
    <w:rsid w:val="00DB4F93"/>
    <w:rsid w:val="00DB6F6F"/>
    <w:rsid w:val="00DC1C46"/>
    <w:rsid w:val="00DC2F7A"/>
    <w:rsid w:val="00DD1DB7"/>
    <w:rsid w:val="00DD2199"/>
    <w:rsid w:val="00DD3F56"/>
    <w:rsid w:val="00DD40FE"/>
    <w:rsid w:val="00DE00A5"/>
    <w:rsid w:val="00DE4D0D"/>
    <w:rsid w:val="00DE5375"/>
    <w:rsid w:val="00DF10BB"/>
    <w:rsid w:val="00DF664E"/>
    <w:rsid w:val="00DF6953"/>
    <w:rsid w:val="00E049BA"/>
    <w:rsid w:val="00E062DF"/>
    <w:rsid w:val="00E16EFC"/>
    <w:rsid w:val="00E25B54"/>
    <w:rsid w:val="00E266C2"/>
    <w:rsid w:val="00E30F0E"/>
    <w:rsid w:val="00E365CE"/>
    <w:rsid w:val="00E4213A"/>
    <w:rsid w:val="00E47DE0"/>
    <w:rsid w:val="00E5212D"/>
    <w:rsid w:val="00E53000"/>
    <w:rsid w:val="00E566ED"/>
    <w:rsid w:val="00E57CB5"/>
    <w:rsid w:val="00E60193"/>
    <w:rsid w:val="00E61655"/>
    <w:rsid w:val="00E61786"/>
    <w:rsid w:val="00E6763F"/>
    <w:rsid w:val="00E70073"/>
    <w:rsid w:val="00E71466"/>
    <w:rsid w:val="00E746D4"/>
    <w:rsid w:val="00E77C21"/>
    <w:rsid w:val="00E97AA8"/>
    <w:rsid w:val="00EA0684"/>
    <w:rsid w:val="00EA32F4"/>
    <w:rsid w:val="00EA5F7E"/>
    <w:rsid w:val="00EB2FD5"/>
    <w:rsid w:val="00EB6B15"/>
    <w:rsid w:val="00EC0D05"/>
    <w:rsid w:val="00EC4699"/>
    <w:rsid w:val="00ED4E3B"/>
    <w:rsid w:val="00ED7C9B"/>
    <w:rsid w:val="00EE19C2"/>
    <w:rsid w:val="00F1168F"/>
    <w:rsid w:val="00F150D4"/>
    <w:rsid w:val="00F16BE1"/>
    <w:rsid w:val="00F16F69"/>
    <w:rsid w:val="00F17B57"/>
    <w:rsid w:val="00F2077F"/>
    <w:rsid w:val="00F279E7"/>
    <w:rsid w:val="00F305D7"/>
    <w:rsid w:val="00F31F4A"/>
    <w:rsid w:val="00F3340F"/>
    <w:rsid w:val="00F37BCA"/>
    <w:rsid w:val="00F409B7"/>
    <w:rsid w:val="00F439E8"/>
    <w:rsid w:val="00F446B8"/>
    <w:rsid w:val="00F52C69"/>
    <w:rsid w:val="00F61F85"/>
    <w:rsid w:val="00F62A12"/>
    <w:rsid w:val="00F665A2"/>
    <w:rsid w:val="00F66C2D"/>
    <w:rsid w:val="00F72078"/>
    <w:rsid w:val="00F770BE"/>
    <w:rsid w:val="00F84FA3"/>
    <w:rsid w:val="00F85186"/>
    <w:rsid w:val="00FA0C5A"/>
    <w:rsid w:val="00FA62DB"/>
    <w:rsid w:val="00FA7D8D"/>
    <w:rsid w:val="00FB0664"/>
    <w:rsid w:val="00FB11EB"/>
    <w:rsid w:val="00FB4CA4"/>
    <w:rsid w:val="00FC1189"/>
    <w:rsid w:val="00FD1F9D"/>
    <w:rsid w:val="00FD7FA6"/>
    <w:rsid w:val="00FE363E"/>
    <w:rsid w:val="00FE62BC"/>
    <w:rsid w:val="00FF4DF4"/>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87"/>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FA0C5A"/>
    <w:rPr>
      <w:sz w:val="16"/>
      <w:szCs w:val="16"/>
    </w:rPr>
  </w:style>
  <w:style w:type="paragraph" w:styleId="CommentText">
    <w:name w:val="annotation text"/>
    <w:basedOn w:val="Normal"/>
    <w:link w:val="CommentTextChar"/>
    <w:uiPriority w:val="99"/>
    <w:semiHidden/>
    <w:unhideWhenUsed/>
    <w:rsid w:val="00FA0C5A"/>
    <w:pPr>
      <w:spacing w:line="240" w:lineRule="auto"/>
    </w:pPr>
    <w:rPr>
      <w:sz w:val="20"/>
      <w:szCs w:val="20"/>
    </w:rPr>
  </w:style>
  <w:style w:type="character" w:customStyle="1" w:styleId="CommentTextChar">
    <w:name w:val="Comment Text Char"/>
    <w:basedOn w:val="DefaultParagraphFont"/>
    <w:link w:val="CommentText"/>
    <w:uiPriority w:val="99"/>
    <w:semiHidden/>
    <w:rsid w:val="00FA0C5A"/>
    <w:rPr>
      <w:sz w:val="20"/>
      <w:szCs w:val="20"/>
    </w:rPr>
  </w:style>
  <w:style w:type="paragraph" w:styleId="CommentSubject">
    <w:name w:val="annotation subject"/>
    <w:basedOn w:val="CommentText"/>
    <w:next w:val="CommentText"/>
    <w:link w:val="CommentSubjectChar"/>
    <w:uiPriority w:val="99"/>
    <w:semiHidden/>
    <w:unhideWhenUsed/>
    <w:rsid w:val="00FA0C5A"/>
    <w:rPr>
      <w:b/>
      <w:bCs/>
    </w:rPr>
  </w:style>
  <w:style w:type="character" w:customStyle="1" w:styleId="CommentSubjectChar">
    <w:name w:val="Comment Subject Char"/>
    <w:basedOn w:val="CommentTextChar"/>
    <w:link w:val="CommentSubject"/>
    <w:uiPriority w:val="99"/>
    <w:semiHidden/>
    <w:rsid w:val="00FA0C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BFB62471-D40D-466B-B418-24884F8B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1419</Words>
  <Characters>8094</Characters>
  <Application>Microsoft Office Word</Application>
  <DocSecurity>0</DocSecurity>
  <Lines>67</Lines>
  <Paragraphs>18</Paragraphs>
  <ScaleCrop>false</ScaleCrop>
  <Company>MGS</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4</cp:revision>
  <cp:lastPrinted>2021-09-06T14:22:00Z</cp:lastPrinted>
  <dcterms:created xsi:type="dcterms:W3CDTF">2021-09-06T14:21:00Z</dcterms:created>
  <dcterms:modified xsi:type="dcterms:W3CDTF">2021-09-08T15:26:00Z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2021-09-03T13:48:06Z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