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72154746"/>
        <w:docPartObj>
          <w:docPartGallery w:val="Cover Pages"/>
          <w:docPartUnique/>
        </w:docPartObj>
      </w:sdtPr>
      <w:sdtEndPr>
        <w:rPr>
          <w:color w:val="DDDDDD" w:themeColor="accent1"/>
        </w:rPr>
      </w:sdtEndPr>
      <w:sdtContent>
        <w:p w14:paraId="42AD15E3" w14:textId="7E960E99" w:rsidR="00C12EE2" w:rsidRDefault="00C12EE2">
          <w:r>
            <w:rPr>
              <w:noProof/>
            </w:rPr>
            <mc:AlternateContent>
              <mc:Choice Requires="wpg">
                <w:drawing>
                  <wp:anchor distT="0" distB="0" distL="114300" distR="114300" simplePos="0" relativeHeight="251638272" behindDoc="0" locked="0" layoutInCell="1" allowOverlap="1" wp14:anchorId="052D7258" wp14:editId="3CECD125">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1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32E0CAF7" id="Group 149" o:spid="_x0000_s1026" alt="&quot;&quot;" style="position:absolute;margin-left:0;margin-top:0;width:8in;height:95.7pt;z-index:25163827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dd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12" o:title="" recolor="t" rotate="t" type="frame"/>
                    </v:rect>
                    <w10:wrap anchorx="page" anchory="page"/>
                  </v:group>
                </w:pict>
              </mc:Fallback>
            </mc:AlternateContent>
          </w:r>
          <w:r>
            <w:rPr>
              <w:noProof/>
            </w:rPr>
            <mc:AlternateContent>
              <mc:Choice Requires="wps">
                <w:drawing>
                  <wp:anchor distT="0" distB="0" distL="114300" distR="114300" simplePos="0" relativeHeight="251631104" behindDoc="0" locked="0" layoutInCell="1" allowOverlap="1" wp14:anchorId="317A6609" wp14:editId="083154D5">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0" w:name="_Toc74746274"/>
                              <w:bookmarkStart w:id="1" w:name="_Toc74746776"/>
                              <w:p w14:paraId="4EFE9DB9" w14:textId="7ED6BF14" w:rsidR="00803A4B" w:rsidRPr="002A1BA6" w:rsidRDefault="00803A4B">
                                <w:pPr>
                                  <w:jc w:val="right"/>
                                  <w:rPr>
                                    <w:b/>
                                    <w:bCs/>
                                    <w:sz w:val="72"/>
                                    <w:szCs w:val="56"/>
                                  </w:rPr>
                                </w:pPr>
                                <w:sdt>
                                  <w:sdtPr>
                                    <w:rPr>
                                      <w:b/>
                                      <w:bCs/>
                                      <w:sz w:val="72"/>
                                      <w:szCs w:val="5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Pr="002A1BA6">
                                      <w:rPr>
                                        <w:b/>
                                        <w:bCs/>
                                        <w:sz w:val="72"/>
                                        <w:szCs w:val="56"/>
                                      </w:rPr>
                                      <w:t>2020 - 2021</w:t>
                                    </w:r>
                                    <w:r w:rsidRPr="002A1BA6">
                                      <w:rPr>
                                        <w:b/>
                                        <w:bCs/>
                                        <w:sz w:val="72"/>
                                        <w:szCs w:val="56"/>
                                      </w:rPr>
                                      <w:br/>
                                      <w:t>Annual Report</w:t>
                                    </w:r>
                                  </w:sdtContent>
                                </w:sdt>
                                <w:bookmarkEnd w:id="0"/>
                                <w:bookmarkEnd w:id="1"/>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18F5941B" w14:textId="0441E27A" w:rsidR="00803A4B" w:rsidRDefault="00803A4B">
                                    <w:pPr>
                                      <w:jc w:val="right"/>
                                      <w:rPr>
                                        <w:smallCaps/>
                                        <w:color w:val="404040" w:themeColor="text1" w:themeTint="BF"/>
                                        <w:sz w:val="36"/>
                                        <w:szCs w:val="36"/>
                                      </w:rPr>
                                    </w:pPr>
                                    <w:r>
                                      <w:rPr>
                                        <w:color w:val="404040" w:themeColor="text1" w:themeTint="BF"/>
                                        <w:sz w:val="36"/>
                                        <w:szCs w:val="36"/>
                                      </w:rPr>
                                      <w:t>Niagara Escarpment Commission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w14:anchorId="317A6609" id="_x0000_t202" coordsize="21600,21600" o:spt="202" path="m,l,21600r21600,l21600,xe">
                    <v:stroke joinstyle="miter"/>
                    <v:path gradientshapeok="t" o:connecttype="rect"/>
                  </v:shapetype>
                  <v:shape id="Text Box 154" o:spid="_x0000_s1026" type="#_x0000_t202" alt="&quot;&quot;" style="position:absolute;margin-left:0;margin-top:0;width:8in;height:286.5pt;z-index:25163110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bookmarkStart w:id="2" w:name="_Toc74746274"/>
                        <w:bookmarkStart w:id="3" w:name="_Toc74746776"/>
                        <w:p w14:paraId="4EFE9DB9" w14:textId="7ED6BF14" w:rsidR="00803A4B" w:rsidRPr="002A1BA6" w:rsidRDefault="00803A4B">
                          <w:pPr>
                            <w:jc w:val="right"/>
                            <w:rPr>
                              <w:b/>
                              <w:bCs/>
                              <w:sz w:val="72"/>
                              <w:szCs w:val="56"/>
                            </w:rPr>
                          </w:pPr>
                          <w:sdt>
                            <w:sdtPr>
                              <w:rPr>
                                <w:b/>
                                <w:bCs/>
                                <w:sz w:val="72"/>
                                <w:szCs w:val="56"/>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Content>
                              <w:r w:rsidRPr="002A1BA6">
                                <w:rPr>
                                  <w:b/>
                                  <w:bCs/>
                                  <w:sz w:val="72"/>
                                  <w:szCs w:val="56"/>
                                </w:rPr>
                                <w:t>2020 - 2021</w:t>
                              </w:r>
                              <w:r w:rsidRPr="002A1BA6">
                                <w:rPr>
                                  <w:b/>
                                  <w:bCs/>
                                  <w:sz w:val="72"/>
                                  <w:szCs w:val="56"/>
                                </w:rPr>
                                <w:br/>
                                <w:t>Annual Report</w:t>
                              </w:r>
                            </w:sdtContent>
                          </w:sdt>
                          <w:bookmarkEnd w:id="2"/>
                          <w:bookmarkEnd w:id="3"/>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14:paraId="18F5941B" w14:textId="0441E27A" w:rsidR="00803A4B" w:rsidRDefault="00803A4B">
                              <w:pPr>
                                <w:jc w:val="right"/>
                                <w:rPr>
                                  <w:smallCaps/>
                                  <w:color w:val="404040" w:themeColor="text1" w:themeTint="BF"/>
                                  <w:sz w:val="36"/>
                                  <w:szCs w:val="36"/>
                                </w:rPr>
                              </w:pPr>
                              <w:r>
                                <w:rPr>
                                  <w:color w:val="404040" w:themeColor="text1" w:themeTint="BF"/>
                                  <w:sz w:val="36"/>
                                  <w:szCs w:val="36"/>
                                </w:rPr>
                                <w:t>Niagara Escarpment Commission</w:t>
                              </w:r>
                            </w:p>
                          </w:sdtContent>
                        </w:sdt>
                      </w:txbxContent>
                    </v:textbox>
                    <w10:wrap type="square" anchorx="page" anchory="page"/>
                  </v:shape>
                </w:pict>
              </mc:Fallback>
            </mc:AlternateContent>
          </w:r>
        </w:p>
        <w:p w14:paraId="7ED36327" w14:textId="77777777" w:rsidR="00777E5E" w:rsidRDefault="00CA54AE" w:rsidP="00777E5E">
          <w:pPr>
            <w:pStyle w:val="Title"/>
          </w:pPr>
          <w:r>
            <w:rPr>
              <w:noProof/>
              <w:color w:val="DDDDDD" w:themeColor="accent1"/>
            </w:rPr>
            <w:drawing>
              <wp:anchor distT="0" distB="0" distL="114300" distR="114300" simplePos="0" relativeHeight="251642368" behindDoc="1" locked="0" layoutInCell="1" allowOverlap="1" wp14:anchorId="01071B01" wp14:editId="374D1C45">
                <wp:simplePos x="0" y="0"/>
                <wp:positionH relativeFrom="column">
                  <wp:posOffset>3597242</wp:posOffset>
                </wp:positionH>
                <wp:positionV relativeFrom="paragraph">
                  <wp:posOffset>7009196</wp:posOffset>
                </wp:positionV>
                <wp:extent cx="2359152" cy="868680"/>
                <wp:effectExtent l="0" t="0" r="3175" b="7620"/>
                <wp:wrapTight wrapText="bothSides">
                  <wp:wrapPolygon edited="0">
                    <wp:start x="0" y="0"/>
                    <wp:lineTo x="0" y="21316"/>
                    <wp:lineTo x="21455" y="21316"/>
                    <wp:lineTo x="21455"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59152" cy="868680"/>
                        </a:xfrm>
                        <a:prstGeom prst="rect">
                          <a:avLst/>
                        </a:prstGeom>
                      </pic:spPr>
                    </pic:pic>
                  </a:graphicData>
                </a:graphic>
                <wp14:sizeRelH relativeFrom="page">
                  <wp14:pctWidth>0</wp14:pctWidth>
                </wp14:sizeRelH>
                <wp14:sizeRelV relativeFrom="page">
                  <wp14:pctHeight>0</wp14:pctHeight>
                </wp14:sizeRelV>
              </wp:anchor>
            </w:drawing>
          </w:r>
          <w:r w:rsidR="00C12EE2">
            <w:rPr>
              <w:color w:val="DDDDDD" w:themeColor="accent1"/>
            </w:rPr>
            <w:br w:type="page"/>
          </w:r>
        </w:p>
        <w:p w14:paraId="0E8FDAB0" w14:textId="6884A4DF" w:rsidR="00777E5E" w:rsidRDefault="00A40B31" w:rsidP="00777E5E">
          <w:pPr>
            <w:spacing w:before="63"/>
            <w:jc w:val="both"/>
          </w:pPr>
          <w:r>
            <w:rPr>
              <w:rFonts w:ascii="Open Sans" w:hAnsi="Open Sans" w:cs="Helvetica"/>
              <w:noProof/>
              <w:color w:val="000000"/>
              <w:lang w:eastAsia="en-CA"/>
            </w:rPr>
            <w:lastRenderedPageBreak/>
            <w:drawing>
              <wp:inline distT="0" distB="0" distL="0" distR="0" wp14:anchorId="7290D7A9" wp14:editId="1EC55B0B">
                <wp:extent cx="2619375" cy="838200"/>
                <wp:effectExtent l="0" t="0" r="9525" b="0"/>
                <wp:docPr id="13" name="Picture 13" descr="Ontario logo (black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tario logo (black version)"/>
                        <pic:cNvPicPr>
                          <a:picLocks noChangeAspect="1" noChangeArrowheads="1"/>
                        </pic:cNvPicPr>
                      </pic:nvPicPr>
                      <pic:blipFill rotWithShape="1">
                        <a:blip r:embed="rId14">
                          <a:extLst>
                            <a:ext uri="{28A0092B-C50C-407E-A947-70E740481C1C}">
                              <a14:useLocalDpi xmlns:a14="http://schemas.microsoft.com/office/drawing/2010/main" val="0"/>
                            </a:ext>
                          </a:extLst>
                        </a:blip>
                        <a:srcRect l="3666" t="14166" r="4667" b="12500"/>
                        <a:stretch/>
                      </pic:blipFill>
                      <pic:spPr bwMode="auto">
                        <a:xfrm>
                          <a:off x="0" y="0"/>
                          <a:ext cx="2619375" cy="838200"/>
                        </a:xfrm>
                        <a:prstGeom prst="rect">
                          <a:avLst/>
                        </a:prstGeom>
                        <a:noFill/>
                        <a:ln>
                          <a:noFill/>
                        </a:ln>
                        <a:extLst>
                          <a:ext uri="{53640926-AAD7-44D8-BBD7-CCE9431645EC}">
                            <a14:shadowObscured xmlns:a14="http://schemas.microsoft.com/office/drawing/2010/main"/>
                          </a:ext>
                        </a:extLst>
                      </pic:spPr>
                    </pic:pic>
                  </a:graphicData>
                </a:graphic>
              </wp:inline>
            </w:drawing>
          </w:r>
          <w:r w:rsidR="00777E5E">
            <w:t xml:space="preserve"> </w:t>
          </w:r>
          <w:r w:rsidR="00777E5E" w:rsidRPr="00BC05D8">
            <w:rPr>
              <w:rFonts w:ascii="Open Sans" w:hAnsi="Open Sans" w:cs="Helvetica"/>
              <w:noProof/>
              <w:color w:val="000000"/>
              <w:lang w:eastAsia="en-CA"/>
            </w:rPr>
            <w:t xml:space="preserve"> </w:t>
          </w:r>
        </w:p>
        <w:p w14:paraId="3FC54DCE" w14:textId="77777777" w:rsidR="00777E5E" w:rsidRPr="003B15BF" w:rsidRDefault="00777E5E" w:rsidP="00777E5E">
          <w:pPr>
            <w:spacing w:before="63"/>
            <w:jc w:val="both"/>
            <w:rPr>
              <w:rFonts w:ascii="Arial"/>
              <w:color w:val="212121"/>
              <w:szCs w:val="24"/>
            </w:rPr>
          </w:pPr>
        </w:p>
        <w:p w14:paraId="280486F0" w14:textId="2158D8DF" w:rsidR="00A40B31" w:rsidRDefault="00A40B31" w:rsidP="00777E5E">
          <w:pPr>
            <w:spacing w:before="63"/>
            <w:jc w:val="both"/>
            <w:rPr>
              <w:rFonts w:ascii="Arial"/>
              <w:color w:val="212121"/>
              <w:szCs w:val="24"/>
            </w:rPr>
          </w:pPr>
        </w:p>
        <w:p w14:paraId="0AC04195" w14:textId="77777777" w:rsidR="00A40B31" w:rsidRDefault="00A40B31" w:rsidP="00777E5E">
          <w:pPr>
            <w:spacing w:before="63"/>
            <w:jc w:val="both"/>
            <w:rPr>
              <w:rFonts w:ascii="Arial"/>
              <w:color w:val="212121"/>
              <w:szCs w:val="24"/>
            </w:rPr>
          </w:pPr>
        </w:p>
        <w:p w14:paraId="0F46B6B3" w14:textId="08E34AFA" w:rsidR="00777E5E" w:rsidRPr="003B15BF" w:rsidRDefault="00777E5E" w:rsidP="00777E5E">
          <w:pPr>
            <w:spacing w:before="63"/>
            <w:jc w:val="both"/>
            <w:rPr>
              <w:rFonts w:ascii="Arial"/>
              <w:color w:val="212121"/>
              <w:szCs w:val="24"/>
            </w:rPr>
          </w:pPr>
          <w:r w:rsidRPr="00BA5A39">
            <w:rPr>
              <w:rFonts w:ascii="Arial"/>
              <w:color w:val="212121"/>
              <w:szCs w:val="24"/>
            </w:rPr>
            <w:t>June 30</w:t>
          </w:r>
          <w:r w:rsidRPr="003B15BF">
            <w:rPr>
              <w:rFonts w:ascii="Arial"/>
              <w:color w:val="212121"/>
              <w:szCs w:val="24"/>
            </w:rPr>
            <w:t>,</w:t>
          </w:r>
          <w:r w:rsidRPr="003B15BF">
            <w:rPr>
              <w:rFonts w:ascii="Arial"/>
              <w:color w:val="212121"/>
              <w:spacing w:val="-6"/>
              <w:szCs w:val="24"/>
            </w:rPr>
            <w:t xml:space="preserve"> </w:t>
          </w:r>
          <w:r w:rsidRPr="003B15BF">
            <w:rPr>
              <w:rFonts w:ascii="Arial"/>
              <w:color w:val="212121"/>
              <w:szCs w:val="24"/>
            </w:rPr>
            <w:t>202</w:t>
          </w:r>
          <w:r w:rsidR="00A40B31">
            <w:rPr>
              <w:rFonts w:ascii="Arial"/>
              <w:color w:val="212121"/>
              <w:szCs w:val="24"/>
            </w:rPr>
            <w:t>1</w:t>
          </w:r>
        </w:p>
        <w:p w14:paraId="26DBA2DB" w14:textId="77777777" w:rsidR="00777E5E" w:rsidRPr="003B15BF" w:rsidRDefault="00777E5E" w:rsidP="00777E5E">
          <w:pPr>
            <w:spacing w:before="63"/>
            <w:jc w:val="both"/>
            <w:rPr>
              <w:rFonts w:ascii="Arial" w:eastAsia="Arial" w:hAnsi="Arial" w:cs="Arial"/>
              <w:szCs w:val="24"/>
            </w:rPr>
          </w:pPr>
        </w:p>
        <w:p w14:paraId="53037D61" w14:textId="7B6674F1" w:rsidR="00777E5E" w:rsidRPr="003B15BF" w:rsidRDefault="00777E5E" w:rsidP="00171B38">
          <w:pPr>
            <w:jc w:val="both"/>
            <w:rPr>
              <w:rFonts w:ascii="Arial" w:eastAsia="Arial" w:hAnsi="Arial" w:cs="Arial"/>
              <w:szCs w:val="24"/>
            </w:rPr>
          </w:pPr>
          <w:r w:rsidRPr="003B15BF">
            <w:rPr>
              <w:rFonts w:ascii="Arial"/>
              <w:b/>
              <w:color w:val="212121"/>
              <w:szCs w:val="24"/>
            </w:rPr>
            <w:t xml:space="preserve">THE MINISTER OF </w:t>
          </w:r>
          <w:r w:rsidR="00430F13">
            <w:rPr>
              <w:rFonts w:ascii="Arial"/>
              <w:b/>
              <w:color w:val="212121"/>
              <w:szCs w:val="24"/>
            </w:rPr>
            <w:t>NORTHERN DEVELOPMENT, MINES, NATURAL RESOURCES AND FORESTRY</w:t>
          </w:r>
        </w:p>
        <w:p w14:paraId="47EDD990" w14:textId="55C3E48E" w:rsidR="00777E5E" w:rsidRPr="003B15BF" w:rsidRDefault="00777E5E" w:rsidP="006939E1">
          <w:pPr>
            <w:ind w:right="207"/>
            <w:jc w:val="both"/>
            <w:rPr>
              <w:rFonts w:ascii="Arial" w:eastAsia="Arial" w:hAnsi="Arial" w:cs="Arial"/>
              <w:szCs w:val="24"/>
            </w:rPr>
          </w:pPr>
          <w:r w:rsidRPr="003B15BF">
            <w:rPr>
              <w:rFonts w:ascii="Arial"/>
              <w:color w:val="212121"/>
              <w:szCs w:val="24"/>
            </w:rPr>
            <w:t>I have the hono</w:t>
          </w:r>
          <w:r>
            <w:rPr>
              <w:rFonts w:ascii="Arial"/>
              <w:color w:val="212121"/>
              <w:szCs w:val="24"/>
            </w:rPr>
            <w:t>u</w:t>
          </w:r>
          <w:r w:rsidRPr="003B15BF">
            <w:rPr>
              <w:rFonts w:ascii="Arial"/>
              <w:color w:val="212121"/>
              <w:szCs w:val="24"/>
            </w:rPr>
            <w:t>r to submit to you the Annual Report of the</w:t>
          </w:r>
          <w:r w:rsidRPr="003B15BF">
            <w:rPr>
              <w:rFonts w:ascii="Arial"/>
              <w:color w:val="212121"/>
              <w:spacing w:val="-29"/>
              <w:szCs w:val="24"/>
            </w:rPr>
            <w:t xml:space="preserve"> </w:t>
          </w:r>
          <w:r w:rsidRPr="003B15BF">
            <w:rPr>
              <w:rFonts w:ascii="Arial"/>
              <w:color w:val="212121"/>
              <w:szCs w:val="24"/>
            </w:rPr>
            <w:t>Niagara Escarpment Commission for the year commencing April 1, 20</w:t>
          </w:r>
          <w:r w:rsidR="00AB2342">
            <w:rPr>
              <w:rFonts w:ascii="Arial"/>
              <w:color w:val="212121"/>
              <w:szCs w:val="24"/>
            </w:rPr>
            <w:t>20</w:t>
          </w:r>
          <w:r w:rsidRPr="003B15BF">
            <w:rPr>
              <w:rFonts w:ascii="Arial"/>
              <w:color w:val="212121"/>
              <w:spacing w:val="-30"/>
              <w:szCs w:val="24"/>
            </w:rPr>
            <w:t xml:space="preserve"> </w:t>
          </w:r>
          <w:r w:rsidRPr="003B15BF">
            <w:rPr>
              <w:rFonts w:ascii="Arial"/>
              <w:color w:val="212121"/>
              <w:szCs w:val="24"/>
            </w:rPr>
            <w:t>and ending March 31,</w:t>
          </w:r>
          <w:r w:rsidRPr="003B15BF">
            <w:rPr>
              <w:rFonts w:ascii="Arial"/>
              <w:color w:val="212121"/>
              <w:spacing w:val="-12"/>
              <w:szCs w:val="24"/>
            </w:rPr>
            <w:t xml:space="preserve"> </w:t>
          </w:r>
          <w:r w:rsidRPr="003B15BF">
            <w:rPr>
              <w:rFonts w:ascii="Arial"/>
              <w:color w:val="212121"/>
              <w:szCs w:val="24"/>
            </w:rPr>
            <w:t>202</w:t>
          </w:r>
          <w:r w:rsidR="00AB2342">
            <w:rPr>
              <w:rFonts w:ascii="Arial"/>
              <w:color w:val="212121"/>
              <w:szCs w:val="24"/>
            </w:rPr>
            <w:t>1</w:t>
          </w:r>
          <w:r w:rsidRPr="003B15BF">
            <w:rPr>
              <w:rFonts w:ascii="Arial"/>
              <w:color w:val="212121"/>
              <w:szCs w:val="24"/>
            </w:rPr>
            <w:t>.</w:t>
          </w:r>
        </w:p>
        <w:p w14:paraId="0AC055AA" w14:textId="03D90AF5" w:rsidR="00777E5E" w:rsidRDefault="00777E5E" w:rsidP="006939E1">
          <w:pPr>
            <w:jc w:val="both"/>
            <w:rPr>
              <w:rFonts w:ascii="Arial" w:eastAsia="Arial" w:hAnsi="Arial" w:cs="Arial"/>
              <w:szCs w:val="24"/>
            </w:rPr>
          </w:pPr>
        </w:p>
        <w:p w14:paraId="576294AE" w14:textId="1BD0A843" w:rsidR="00407FE1" w:rsidRDefault="004E05BF" w:rsidP="006939E1">
          <w:pPr>
            <w:jc w:val="both"/>
            <w:rPr>
              <w:rFonts w:ascii="Arial" w:eastAsia="Arial" w:hAnsi="Arial" w:cs="Arial"/>
              <w:szCs w:val="24"/>
            </w:rPr>
          </w:pPr>
          <w:r>
            <w:rPr>
              <w:rFonts w:cstheme="minorHAnsi"/>
              <w:noProof/>
            </w:rPr>
            <w:drawing>
              <wp:inline distT="0" distB="0" distL="0" distR="0" wp14:anchorId="2ED3D481" wp14:editId="3132507F">
                <wp:extent cx="2386584" cy="612648"/>
                <wp:effectExtent l="0" t="0" r="0" b="0"/>
                <wp:docPr id="5" name="Picture 5" descr="Signature of Niagara Escarpment Commission's Chair, Rob Nichol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ignature of Niagara Escarpment Commission's Chair, Rob Nicholson"/>
                        <pic:cNvPicPr/>
                      </pic:nvPicPr>
                      <pic:blipFill>
                        <a:blip r:embed="rId15">
                          <a:extLst>
                            <a:ext uri="{28A0092B-C50C-407E-A947-70E740481C1C}">
                              <a14:useLocalDpi xmlns:a14="http://schemas.microsoft.com/office/drawing/2010/main" val="0"/>
                            </a:ext>
                          </a:extLst>
                        </a:blip>
                        <a:stretch>
                          <a:fillRect/>
                        </a:stretch>
                      </pic:blipFill>
                      <pic:spPr>
                        <a:xfrm>
                          <a:off x="0" y="0"/>
                          <a:ext cx="2386584" cy="612648"/>
                        </a:xfrm>
                        <a:prstGeom prst="rect">
                          <a:avLst/>
                        </a:prstGeom>
                      </pic:spPr>
                    </pic:pic>
                  </a:graphicData>
                </a:graphic>
              </wp:inline>
            </w:drawing>
          </w:r>
        </w:p>
        <w:p w14:paraId="7B663C7C" w14:textId="77777777" w:rsidR="00777E5E" w:rsidRDefault="00777E5E" w:rsidP="006939E1">
          <w:pPr>
            <w:jc w:val="both"/>
          </w:pPr>
          <w:r w:rsidRPr="6A9E73D8">
            <w:rPr>
              <w:rFonts w:ascii="Arial"/>
              <w:color w:val="212121"/>
              <w:szCs w:val="24"/>
            </w:rPr>
            <w:t>Rob Nicholson</w:t>
          </w:r>
        </w:p>
        <w:p w14:paraId="1C2B6573" w14:textId="77777777" w:rsidR="00777E5E" w:rsidRPr="003B15BF" w:rsidRDefault="00777E5E" w:rsidP="006939E1">
          <w:pPr>
            <w:spacing w:before="71"/>
            <w:jc w:val="both"/>
            <w:rPr>
              <w:rFonts w:ascii="Arial"/>
              <w:color w:val="212121"/>
              <w:szCs w:val="24"/>
            </w:rPr>
          </w:pPr>
          <w:r w:rsidRPr="003B15BF">
            <w:rPr>
              <w:rFonts w:ascii="Arial"/>
              <w:color w:val="212121"/>
              <w:szCs w:val="24"/>
            </w:rPr>
            <w:t>Chair, Niagara Escarpment</w:t>
          </w:r>
          <w:r w:rsidRPr="003B15BF">
            <w:rPr>
              <w:rFonts w:ascii="Arial"/>
              <w:color w:val="212121"/>
              <w:spacing w:val="-20"/>
              <w:szCs w:val="24"/>
            </w:rPr>
            <w:t xml:space="preserve"> </w:t>
          </w:r>
          <w:r w:rsidRPr="003B15BF">
            <w:rPr>
              <w:rFonts w:ascii="Arial"/>
              <w:color w:val="212121"/>
              <w:szCs w:val="24"/>
            </w:rPr>
            <w:t>Commission</w:t>
          </w:r>
        </w:p>
        <w:p w14:paraId="0B560A3C" w14:textId="47DF9EC1" w:rsidR="00777E5E" w:rsidRDefault="00777E5E">
          <w:pPr>
            <w:rPr>
              <w:color w:val="DDDDDD" w:themeColor="accent1"/>
            </w:rPr>
          </w:pPr>
          <w:r>
            <w:rPr>
              <w:color w:val="DDDDDD" w:themeColor="accent1"/>
            </w:rPr>
            <w:br w:type="page"/>
          </w:r>
        </w:p>
        <w:p w14:paraId="35399FB5" w14:textId="304CBF5C" w:rsidR="00C12EE2" w:rsidRDefault="00803A4B">
          <w:pPr>
            <w:rPr>
              <w:color w:val="DDDDDD" w:themeColor="accent1"/>
            </w:rPr>
          </w:pPr>
        </w:p>
      </w:sdtContent>
    </w:sdt>
    <w:sdt>
      <w:sdtPr>
        <w:rPr>
          <w:sz w:val="24"/>
          <w:szCs w:val="22"/>
          <w:lang w:bidi="ar-SA"/>
        </w:rPr>
        <w:id w:val="1182553033"/>
        <w:docPartObj>
          <w:docPartGallery w:val="Table of Contents"/>
          <w:docPartUnique/>
        </w:docPartObj>
      </w:sdtPr>
      <w:sdtEndPr>
        <w:rPr>
          <w:b/>
          <w:bCs/>
          <w:noProof/>
        </w:rPr>
      </w:sdtEndPr>
      <w:sdtContent>
        <w:p w14:paraId="37E4A1C1" w14:textId="04018754" w:rsidR="008C3DE0" w:rsidRDefault="008C3DE0" w:rsidP="00BF6A92">
          <w:pPr>
            <w:pStyle w:val="TOCHeading"/>
            <w:jc w:val="left"/>
          </w:pPr>
          <w:r>
            <w:t>Table of Contents</w:t>
          </w:r>
        </w:p>
        <w:p w14:paraId="34E92D7D" w14:textId="54025561" w:rsidR="0013082F" w:rsidRDefault="008C3DE0">
          <w:pPr>
            <w:pStyle w:val="TOC1"/>
            <w:rPr>
              <w:rFonts w:eastAsiaTheme="minorEastAsia"/>
              <w:b w:val="0"/>
              <w:bCs w:val="0"/>
              <w:w w:val="100"/>
              <w:sz w:val="22"/>
              <w:lang w:eastAsia="en-CA"/>
            </w:rPr>
          </w:pPr>
          <w:r>
            <w:fldChar w:fldCharType="begin"/>
          </w:r>
          <w:r>
            <w:instrText xml:space="preserve"> TOC \o "1-3" \h \z \u </w:instrText>
          </w:r>
          <w:r>
            <w:fldChar w:fldCharType="separate"/>
          </w:r>
          <w:hyperlink w:anchor="_Toc74895880" w:history="1">
            <w:r w:rsidR="0013082F" w:rsidRPr="009214E4">
              <w:rPr>
                <w:rStyle w:val="Hyperlink"/>
                <w:rFonts w:asciiTheme="majorHAnsi" w:hAnsiTheme="majorHAnsi" w:cstheme="majorHAnsi"/>
              </w:rPr>
              <w:t>Introduction and Background</w:t>
            </w:r>
            <w:r w:rsidR="0013082F">
              <w:rPr>
                <w:webHidden/>
              </w:rPr>
              <w:tab/>
            </w:r>
            <w:r w:rsidR="0013082F">
              <w:rPr>
                <w:webHidden/>
              </w:rPr>
              <w:fldChar w:fldCharType="begin"/>
            </w:r>
            <w:r w:rsidR="0013082F">
              <w:rPr>
                <w:webHidden/>
              </w:rPr>
              <w:instrText xml:space="preserve"> PAGEREF _Toc74895880 \h </w:instrText>
            </w:r>
            <w:r w:rsidR="0013082F">
              <w:rPr>
                <w:webHidden/>
              </w:rPr>
            </w:r>
            <w:r w:rsidR="0013082F">
              <w:rPr>
                <w:webHidden/>
              </w:rPr>
              <w:fldChar w:fldCharType="separate"/>
            </w:r>
            <w:r w:rsidR="00A40A5B">
              <w:rPr>
                <w:webHidden/>
              </w:rPr>
              <w:t>4</w:t>
            </w:r>
            <w:r w:rsidR="0013082F">
              <w:rPr>
                <w:webHidden/>
              </w:rPr>
              <w:fldChar w:fldCharType="end"/>
            </w:r>
          </w:hyperlink>
        </w:p>
        <w:p w14:paraId="7082F1FE" w14:textId="7DA1BE82" w:rsidR="0013082F" w:rsidRDefault="00803A4B">
          <w:pPr>
            <w:pStyle w:val="TOC2"/>
            <w:tabs>
              <w:tab w:val="right" w:leader="dot" w:pos="9350"/>
            </w:tabs>
            <w:rPr>
              <w:rFonts w:eastAsiaTheme="minorEastAsia"/>
              <w:noProof/>
              <w:sz w:val="22"/>
              <w:lang w:eastAsia="en-CA"/>
            </w:rPr>
          </w:pPr>
          <w:hyperlink w:anchor="_Toc74895881" w:history="1">
            <w:r w:rsidR="0013082F" w:rsidRPr="009214E4">
              <w:rPr>
                <w:rStyle w:val="Hyperlink"/>
                <w:noProof/>
              </w:rPr>
              <w:t>Chair’s Message</w:t>
            </w:r>
            <w:r w:rsidR="0013082F">
              <w:rPr>
                <w:noProof/>
                <w:webHidden/>
              </w:rPr>
              <w:tab/>
            </w:r>
            <w:r w:rsidR="0013082F">
              <w:rPr>
                <w:noProof/>
                <w:webHidden/>
              </w:rPr>
              <w:fldChar w:fldCharType="begin"/>
            </w:r>
            <w:r w:rsidR="0013082F">
              <w:rPr>
                <w:noProof/>
                <w:webHidden/>
              </w:rPr>
              <w:instrText xml:space="preserve"> PAGEREF _Toc74895881 \h </w:instrText>
            </w:r>
            <w:r w:rsidR="0013082F">
              <w:rPr>
                <w:noProof/>
                <w:webHidden/>
              </w:rPr>
            </w:r>
            <w:r w:rsidR="0013082F">
              <w:rPr>
                <w:noProof/>
                <w:webHidden/>
              </w:rPr>
              <w:fldChar w:fldCharType="separate"/>
            </w:r>
            <w:r w:rsidR="00A40A5B">
              <w:rPr>
                <w:noProof/>
                <w:webHidden/>
              </w:rPr>
              <w:t>5</w:t>
            </w:r>
            <w:r w:rsidR="0013082F">
              <w:rPr>
                <w:noProof/>
                <w:webHidden/>
              </w:rPr>
              <w:fldChar w:fldCharType="end"/>
            </w:r>
          </w:hyperlink>
        </w:p>
        <w:p w14:paraId="6A8A9874" w14:textId="19199792" w:rsidR="0013082F" w:rsidRDefault="00803A4B">
          <w:pPr>
            <w:pStyle w:val="TOC2"/>
            <w:tabs>
              <w:tab w:val="right" w:leader="dot" w:pos="9350"/>
            </w:tabs>
            <w:rPr>
              <w:rFonts w:eastAsiaTheme="minorEastAsia"/>
              <w:noProof/>
              <w:sz w:val="22"/>
              <w:lang w:eastAsia="en-CA"/>
            </w:rPr>
          </w:pPr>
          <w:hyperlink w:anchor="_Toc74895882" w:history="1">
            <w:r w:rsidR="0013082F" w:rsidRPr="009214E4">
              <w:rPr>
                <w:rStyle w:val="Hyperlink"/>
                <w:noProof/>
              </w:rPr>
              <w:t>The Niagara Escarpment</w:t>
            </w:r>
            <w:r w:rsidR="0013082F">
              <w:rPr>
                <w:noProof/>
                <w:webHidden/>
              </w:rPr>
              <w:tab/>
            </w:r>
            <w:r w:rsidR="0013082F">
              <w:rPr>
                <w:noProof/>
                <w:webHidden/>
              </w:rPr>
              <w:fldChar w:fldCharType="begin"/>
            </w:r>
            <w:r w:rsidR="0013082F">
              <w:rPr>
                <w:noProof/>
                <w:webHidden/>
              </w:rPr>
              <w:instrText xml:space="preserve"> PAGEREF _Toc74895882 \h </w:instrText>
            </w:r>
            <w:r w:rsidR="0013082F">
              <w:rPr>
                <w:noProof/>
                <w:webHidden/>
              </w:rPr>
            </w:r>
            <w:r w:rsidR="0013082F">
              <w:rPr>
                <w:noProof/>
                <w:webHidden/>
              </w:rPr>
              <w:fldChar w:fldCharType="separate"/>
            </w:r>
            <w:r w:rsidR="00A40A5B">
              <w:rPr>
                <w:noProof/>
                <w:webHidden/>
              </w:rPr>
              <w:t>7</w:t>
            </w:r>
            <w:r w:rsidR="0013082F">
              <w:rPr>
                <w:noProof/>
                <w:webHidden/>
              </w:rPr>
              <w:fldChar w:fldCharType="end"/>
            </w:r>
          </w:hyperlink>
        </w:p>
        <w:p w14:paraId="62078BA8" w14:textId="5CCA7AA6" w:rsidR="0013082F" w:rsidRDefault="00803A4B">
          <w:pPr>
            <w:pStyle w:val="TOC2"/>
            <w:tabs>
              <w:tab w:val="right" w:leader="dot" w:pos="9350"/>
            </w:tabs>
            <w:rPr>
              <w:rFonts w:eastAsiaTheme="minorEastAsia"/>
              <w:noProof/>
              <w:sz w:val="22"/>
              <w:lang w:eastAsia="en-CA"/>
            </w:rPr>
          </w:pPr>
          <w:hyperlink w:anchor="_Toc74895883" w:history="1">
            <w:r w:rsidR="0013082F" w:rsidRPr="009214E4">
              <w:rPr>
                <w:rStyle w:val="Hyperlink"/>
                <w:noProof/>
              </w:rPr>
              <w:t>The Niagara Escarpment Commission</w:t>
            </w:r>
            <w:r w:rsidR="0013082F">
              <w:rPr>
                <w:noProof/>
                <w:webHidden/>
              </w:rPr>
              <w:tab/>
            </w:r>
            <w:r w:rsidR="0013082F">
              <w:rPr>
                <w:noProof/>
                <w:webHidden/>
              </w:rPr>
              <w:fldChar w:fldCharType="begin"/>
            </w:r>
            <w:r w:rsidR="0013082F">
              <w:rPr>
                <w:noProof/>
                <w:webHidden/>
              </w:rPr>
              <w:instrText xml:space="preserve"> PAGEREF _Toc74895883 \h </w:instrText>
            </w:r>
            <w:r w:rsidR="0013082F">
              <w:rPr>
                <w:noProof/>
                <w:webHidden/>
              </w:rPr>
            </w:r>
            <w:r w:rsidR="0013082F">
              <w:rPr>
                <w:noProof/>
                <w:webHidden/>
              </w:rPr>
              <w:fldChar w:fldCharType="separate"/>
            </w:r>
            <w:r w:rsidR="00A40A5B">
              <w:rPr>
                <w:noProof/>
                <w:webHidden/>
              </w:rPr>
              <w:t>8</w:t>
            </w:r>
            <w:r w:rsidR="0013082F">
              <w:rPr>
                <w:noProof/>
                <w:webHidden/>
              </w:rPr>
              <w:fldChar w:fldCharType="end"/>
            </w:r>
          </w:hyperlink>
        </w:p>
        <w:p w14:paraId="56858CFD" w14:textId="6EC2155C" w:rsidR="0013082F" w:rsidRDefault="00803A4B">
          <w:pPr>
            <w:pStyle w:val="TOC2"/>
            <w:tabs>
              <w:tab w:val="right" w:leader="dot" w:pos="9350"/>
            </w:tabs>
            <w:rPr>
              <w:rFonts w:eastAsiaTheme="minorEastAsia"/>
              <w:noProof/>
              <w:sz w:val="22"/>
              <w:lang w:eastAsia="en-CA"/>
            </w:rPr>
          </w:pPr>
          <w:hyperlink w:anchor="_Toc74895884" w:history="1">
            <w:r w:rsidR="0013082F" w:rsidRPr="009214E4">
              <w:rPr>
                <w:rStyle w:val="Hyperlink"/>
                <w:noProof/>
              </w:rPr>
              <w:t>The Niagara Escarpment Plan</w:t>
            </w:r>
            <w:r w:rsidR="0013082F">
              <w:rPr>
                <w:noProof/>
                <w:webHidden/>
              </w:rPr>
              <w:tab/>
            </w:r>
            <w:r w:rsidR="0013082F">
              <w:rPr>
                <w:noProof/>
                <w:webHidden/>
              </w:rPr>
              <w:fldChar w:fldCharType="begin"/>
            </w:r>
            <w:r w:rsidR="0013082F">
              <w:rPr>
                <w:noProof/>
                <w:webHidden/>
              </w:rPr>
              <w:instrText xml:space="preserve"> PAGEREF _Toc74895884 \h </w:instrText>
            </w:r>
            <w:r w:rsidR="0013082F">
              <w:rPr>
                <w:noProof/>
                <w:webHidden/>
              </w:rPr>
            </w:r>
            <w:r w:rsidR="0013082F">
              <w:rPr>
                <w:noProof/>
                <w:webHidden/>
              </w:rPr>
              <w:fldChar w:fldCharType="separate"/>
            </w:r>
            <w:r w:rsidR="00A40A5B">
              <w:rPr>
                <w:noProof/>
                <w:webHidden/>
              </w:rPr>
              <w:t>9</w:t>
            </w:r>
            <w:r w:rsidR="0013082F">
              <w:rPr>
                <w:noProof/>
                <w:webHidden/>
              </w:rPr>
              <w:fldChar w:fldCharType="end"/>
            </w:r>
          </w:hyperlink>
        </w:p>
        <w:p w14:paraId="5C7EA165" w14:textId="57DE765A" w:rsidR="0013082F" w:rsidRDefault="00803A4B">
          <w:pPr>
            <w:pStyle w:val="TOC2"/>
            <w:tabs>
              <w:tab w:val="right" w:leader="dot" w:pos="9350"/>
            </w:tabs>
            <w:rPr>
              <w:rFonts w:eastAsiaTheme="minorEastAsia"/>
              <w:noProof/>
              <w:sz w:val="22"/>
              <w:lang w:eastAsia="en-CA"/>
            </w:rPr>
          </w:pPr>
          <w:hyperlink w:anchor="_Toc74895885" w:history="1">
            <w:r w:rsidR="0013082F" w:rsidRPr="009214E4">
              <w:rPr>
                <w:rStyle w:val="Hyperlink"/>
                <w:noProof/>
              </w:rPr>
              <w:t>Strategic and Operational Context</w:t>
            </w:r>
            <w:r w:rsidR="0013082F">
              <w:rPr>
                <w:noProof/>
                <w:webHidden/>
              </w:rPr>
              <w:tab/>
            </w:r>
            <w:r w:rsidR="0013082F">
              <w:rPr>
                <w:noProof/>
                <w:webHidden/>
              </w:rPr>
              <w:fldChar w:fldCharType="begin"/>
            </w:r>
            <w:r w:rsidR="0013082F">
              <w:rPr>
                <w:noProof/>
                <w:webHidden/>
              </w:rPr>
              <w:instrText xml:space="preserve"> PAGEREF _Toc74895885 \h </w:instrText>
            </w:r>
            <w:r w:rsidR="0013082F">
              <w:rPr>
                <w:noProof/>
                <w:webHidden/>
              </w:rPr>
            </w:r>
            <w:r w:rsidR="0013082F">
              <w:rPr>
                <w:noProof/>
                <w:webHidden/>
              </w:rPr>
              <w:fldChar w:fldCharType="separate"/>
            </w:r>
            <w:r w:rsidR="00A40A5B">
              <w:rPr>
                <w:noProof/>
                <w:webHidden/>
              </w:rPr>
              <w:t>10</w:t>
            </w:r>
            <w:r w:rsidR="0013082F">
              <w:rPr>
                <w:noProof/>
                <w:webHidden/>
              </w:rPr>
              <w:fldChar w:fldCharType="end"/>
            </w:r>
          </w:hyperlink>
        </w:p>
        <w:p w14:paraId="01029795" w14:textId="232AC754" w:rsidR="0013082F" w:rsidRDefault="00803A4B">
          <w:pPr>
            <w:pStyle w:val="TOC3"/>
            <w:tabs>
              <w:tab w:val="right" w:leader="dot" w:pos="9350"/>
            </w:tabs>
            <w:rPr>
              <w:rFonts w:eastAsiaTheme="minorEastAsia"/>
              <w:noProof/>
              <w:sz w:val="22"/>
              <w:lang w:eastAsia="en-CA"/>
            </w:rPr>
          </w:pPr>
          <w:hyperlink w:anchor="_Toc74895886" w:history="1">
            <w:r w:rsidR="0013082F" w:rsidRPr="009214E4">
              <w:rPr>
                <w:rStyle w:val="Hyperlink"/>
                <w:noProof/>
                <w:w w:val="107"/>
              </w:rPr>
              <w:t>Purpose</w:t>
            </w:r>
            <w:r w:rsidR="0013082F">
              <w:rPr>
                <w:noProof/>
                <w:webHidden/>
              </w:rPr>
              <w:tab/>
            </w:r>
            <w:r w:rsidR="0013082F">
              <w:rPr>
                <w:noProof/>
                <w:webHidden/>
              </w:rPr>
              <w:fldChar w:fldCharType="begin"/>
            </w:r>
            <w:r w:rsidR="0013082F">
              <w:rPr>
                <w:noProof/>
                <w:webHidden/>
              </w:rPr>
              <w:instrText xml:space="preserve"> PAGEREF _Toc74895886 \h </w:instrText>
            </w:r>
            <w:r w:rsidR="0013082F">
              <w:rPr>
                <w:noProof/>
                <w:webHidden/>
              </w:rPr>
            </w:r>
            <w:r w:rsidR="0013082F">
              <w:rPr>
                <w:noProof/>
                <w:webHidden/>
              </w:rPr>
              <w:fldChar w:fldCharType="separate"/>
            </w:r>
            <w:r w:rsidR="00A40A5B">
              <w:rPr>
                <w:noProof/>
                <w:webHidden/>
              </w:rPr>
              <w:t>10</w:t>
            </w:r>
            <w:r w:rsidR="0013082F">
              <w:rPr>
                <w:noProof/>
                <w:webHidden/>
              </w:rPr>
              <w:fldChar w:fldCharType="end"/>
            </w:r>
          </w:hyperlink>
        </w:p>
        <w:p w14:paraId="5B7DD438" w14:textId="6248DCF2" w:rsidR="0013082F" w:rsidRDefault="00803A4B">
          <w:pPr>
            <w:pStyle w:val="TOC3"/>
            <w:tabs>
              <w:tab w:val="right" w:leader="dot" w:pos="9350"/>
            </w:tabs>
            <w:rPr>
              <w:rFonts w:eastAsiaTheme="minorEastAsia"/>
              <w:noProof/>
              <w:sz w:val="22"/>
              <w:lang w:eastAsia="en-CA"/>
            </w:rPr>
          </w:pPr>
          <w:hyperlink w:anchor="_Toc74895887" w:history="1">
            <w:r w:rsidR="0013082F" w:rsidRPr="009214E4">
              <w:rPr>
                <w:rStyle w:val="Hyperlink"/>
                <w:noProof/>
                <w:w w:val="107"/>
              </w:rPr>
              <w:t>Objectives</w:t>
            </w:r>
            <w:r w:rsidR="0013082F">
              <w:rPr>
                <w:noProof/>
                <w:webHidden/>
              </w:rPr>
              <w:tab/>
            </w:r>
            <w:r w:rsidR="0013082F">
              <w:rPr>
                <w:noProof/>
                <w:webHidden/>
              </w:rPr>
              <w:fldChar w:fldCharType="begin"/>
            </w:r>
            <w:r w:rsidR="0013082F">
              <w:rPr>
                <w:noProof/>
                <w:webHidden/>
              </w:rPr>
              <w:instrText xml:space="preserve"> PAGEREF _Toc74895887 \h </w:instrText>
            </w:r>
            <w:r w:rsidR="0013082F">
              <w:rPr>
                <w:noProof/>
                <w:webHidden/>
              </w:rPr>
            </w:r>
            <w:r w:rsidR="0013082F">
              <w:rPr>
                <w:noProof/>
                <w:webHidden/>
              </w:rPr>
              <w:fldChar w:fldCharType="separate"/>
            </w:r>
            <w:r w:rsidR="00A40A5B">
              <w:rPr>
                <w:noProof/>
                <w:webHidden/>
              </w:rPr>
              <w:t>10</w:t>
            </w:r>
            <w:r w:rsidR="0013082F">
              <w:rPr>
                <w:noProof/>
                <w:webHidden/>
              </w:rPr>
              <w:fldChar w:fldCharType="end"/>
            </w:r>
          </w:hyperlink>
        </w:p>
        <w:p w14:paraId="05433ED1" w14:textId="6550E4D6" w:rsidR="0013082F" w:rsidRDefault="00803A4B">
          <w:pPr>
            <w:pStyle w:val="TOC1"/>
            <w:rPr>
              <w:rFonts w:eastAsiaTheme="minorEastAsia"/>
              <w:b w:val="0"/>
              <w:bCs w:val="0"/>
              <w:w w:val="100"/>
              <w:sz w:val="22"/>
              <w:lang w:eastAsia="en-CA"/>
            </w:rPr>
          </w:pPr>
          <w:hyperlink w:anchor="_Toc74895888" w:history="1">
            <w:r w:rsidR="0013082F" w:rsidRPr="009214E4">
              <w:rPr>
                <w:rStyle w:val="Hyperlink"/>
              </w:rPr>
              <w:t>Operational Strategy</w:t>
            </w:r>
            <w:r w:rsidR="0013082F">
              <w:rPr>
                <w:webHidden/>
              </w:rPr>
              <w:tab/>
            </w:r>
            <w:r w:rsidR="0013082F">
              <w:rPr>
                <w:webHidden/>
              </w:rPr>
              <w:fldChar w:fldCharType="begin"/>
            </w:r>
            <w:r w:rsidR="0013082F">
              <w:rPr>
                <w:webHidden/>
              </w:rPr>
              <w:instrText xml:space="preserve"> PAGEREF _Toc74895888 \h </w:instrText>
            </w:r>
            <w:r w:rsidR="0013082F">
              <w:rPr>
                <w:webHidden/>
              </w:rPr>
            </w:r>
            <w:r w:rsidR="0013082F">
              <w:rPr>
                <w:webHidden/>
              </w:rPr>
              <w:fldChar w:fldCharType="separate"/>
            </w:r>
            <w:r w:rsidR="00A40A5B">
              <w:rPr>
                <w:webHidden/>
              </w:rPr>
              <w:t>12</w:t>
            </w:r>
            <w:r w:rsidR="0013082F">
              <w:rPr>
                <w:webHidden/>
              </w:rPr>
              <w:fldChar w:fldCharType="end"/>
            </w:r>
          </w:hyperlink>
        </w:p>
        <w:p w14:paraId="0AE865EA" w14:textId="093E4580" w:rsidR="0013082F" w:rsidRDefault="00803A4B">
          <w:pPr>
            <w:pStyle w:val="TOC2"/>
            <w:tabs>
              <w:tab w:val="right" w:leader="dot" w:pos="9350"/>
            </w:tabs>
            <w:rPr>
              <w:rFonts w:eastAsiaTheme="minorEastAsia"/>
              <w:noProof/>
              <w:sz w:val="22"/>
              <w:lang w:eastAsia="en-CA"/>
            </w:rPr>
          </w:pPr>
          <w:hyperlink w:anchor="_Toc74895890" w:history="1">
            <w:r w:rsidR="0013082F" w:rsidRPr="009214E4">
              <w:rPr>
                <w:rStyle w:val="Hyperlink"/>
                <w:noProof/>
                <w:w w:val="107"/>
              </w:rPr>
              <w:t>Operational Strategy Overview</w:t>
            </w:r>
            <w:r w:rsidR="0013082F">
              <w:rPr>
                <w:noProof/>
                <w:webHidden/>
              </w:rPr>
              <w:tab/>
            </w:r>
            <w:r w:rsidR="0013082F">
              <w:rPr>
                <w:noProof/>
                <w:webHidden/>
              </w:rPr>
              <w:fldChar w:fldCharType="begin"/>
            </w:r>
            <w:r w:rsidR="0013082F">
              <w:rPr>
                <w:noProof/>
                <w:webHidden/>
              </w:rPr>
              <w:instrText xml:space="preserve"> PAGEREF _Toc74895890 \h </w:instrText>
            </w:r>
            <w:r w:rsidR="0013082F">
              <w:rPr>
                <w:noProof/>
                <w:webHidden/>
              </w:rPr>
            </w:r>
            <w:r w:rsidR="0013082F">
              <w:rPr>
                <w:noProof/>
                <w:webHidden/>
              </w:rPr>
              <w:fldChar w:fldCharType="separate"/>
            </w:r>
            <w:r w:rsidR="00A40A5B">
              <w:rPr>
                <w:noProof/>
                <w:webHidden/>
              </w:rPr>
              <w:t>13</w:t>
            </w:r>
            <w:r w:rsidR="0013082F">
              <w:rPr>
                <w:noProof/>
                <w:webHidden/>
              </w:rPr>
              <w:fldChar w:fldCharType="end"/>
            </w:r>
          </w:hyperlink>
        </w:p>
        <w:p w14:paraId="109A6EBE" w14:textId="6513C8BC" w:rsidR="0013082F" w:rsidRDefault="00803A4B">
          <w:pPr>
            <w:pStyle w:val="TOC2"/>
            <w:tabs>
              <w:tab w:val="right" w:leader="dot" w:pos="9350"/>
            </w:tabs>
            <w:rPr>
              <w:rFonts w:eastAsiaTheme="minorEastAsia"/>
              <w:noProof/>
              <w:sz w:val="22"/>
              <w:lang w:eastAsia="en-CA"/>
            </w:rPr>
          </w:pPr>
          <w:hyperlink w:anchor="_Toc74895891" w:history="1">
            <w:r w:rsidR="0013082F" w:rsidRPr="009214E4">
              <w:rPr>
                <w:rStyle w:val="Hyperlink"/>
                <w:noProof/>
              </w:rPr>
              <w:t>NEC Operational Strategy – Core Elements</w:t>
            </w:r>
            <w:r w:rsidR="0013082F">
              <w:rPr>
                <w:noProof/>
                <w:webHidden/>
              </w:rPr>
              <w:tab/>
            </w:r>
            <w:r w:rsidR="0013082F">
              <w:rPr>
                <w:noProof/>
                <w:webHidden/>
              </w:rPr>
              <w:fldChar w:fldCharType="begin"/>
            </w:r>
            <w:r w:rsidR="0013082F">
              <w:rPr>
                <w:noProof/>
                <w:webHidden/>
              </w:rPr>
              <w:instrText xml:space="preserve"> PAGEREF _Toc74895891 \h </w:instrText>
            </w:r>
            <w:r w:rsidR="0013082F">
              <w:rPr>
                <w:noProof/>
                <w:webHidden/>
              </w:rPr>
            </w:r>
            <w:r w:rsidR="0013082F">
              <w:rPr>
                <w:noProof/>
                <w:webHidden/>
              </w:rPr>
              <w:fldChar w:fldCharType="separate"/>
            </w:r>
            <w:r w:rsidR="00A40A5B">
              <w:rPr>
                <w:noProof/>
                <w:webHidden/>
              </w:rPr>
              <w:t>13</w:t>
            </w:r>
            <w:r w:rsidR="0013082F">
              <w:rPr>
                <w:noProof/>
                <w:webHidden/>
              </w:rPr>
              <w:fldChar w:fldCharType="end"/>
            </w:r>
          </w:hyperlink>
        </w:p>
        <w:p w14:paraId="0F97335C" w14:textId="41B9679B" w:rsidR="0013082F" w:rsidRDefault="00803A4B">
          <w:pPr>
            <w:pStyle w:val="TOC2"/>
            <w:tabs>
              <w:tab w:val="left" w:pos="660"/>
              <w:tab w:val="right" w:leader="dot" w:pos="9350"/>
            </w:tabs>
            <w:rPr>
              <w:rFonts w:eastAsiaTheme="minorEastAsia"/>
              <w:noProof/>
              <w:sz w:val="22"/>
              <w:lang w:eastAsia="en-CA"/>
            </w:rPr>
          </w:pPr>
          <w:hyperlink w:anchor="_Toc74895892" w:history="1">
            <w:r w:rsidR="0013082F" w:rsidRPr="009214E4">
              <w:rPr>
                <w:rStyle w:val="Hyperlink"/>
                <w:noProof/>
              </w:rPr>
              <w:t>1.</w:t>
            </w:r>
            <w:r w:rsidR="0013082F">
              <w:rPr>
                <w:rFonts w:eastAsiaTheme="minorEastAsia"/>
                <w:noProof/>
                <w:sz w:val="22"/>
                <w:lang w:eastAsia="en-CA"/>
              </w:rPr>
              <w:tab/>
            </w:r>
            <w:r w:rsidR="0013082F" w:rsidRPr="009214E4">
              <w:rPr>
                <w:rStyle w:val="Hyperlink"/>
                <w:noProof/>
              </w:rPr>
              <w:t>Business and Organizational Effectiveness</w:t>
            </w:r>
            <w:r w:rsidR="0013082F">
              <w:rPr>
                <w:noProof/>
                <w:webHidden/>
              </w:rPr>
              <w:tab/>
            </w:r>
            <w:r w:rsidR="0013082F">
              <w:rPr>
                <w:noProof/>
                <w:webHidden/>
              </w:rPr>
              <w:fldChar w:fldCharType="begin"/>
            </w:r>
            <w:r w:rsidR="0013082F">
              <w:rPr>
                <w:noProof/>
                <w:webHidden/>
              </w:rPr>
              <w:instrText xml:space="preserve"> PAGEREF _Toc74895892 \h </w:instrText>
            </w:r>
            <w:r w:rsidR="0013082F">
              <w:rPr>
                <w:noProof/>
                <w:webHidden/>
              </w:rPr>
            </w:r>
            <w:r w:rsidR="0013082F">
              <w:rPr>
                <w:noProof/>
                <w:webHidden/>
              </w:rPr>
              <w:fldChar w:fldCharType="separate"/>
            </w:r>
            <w:r w:rsidR="00A40A5B">
              <w:rPr>
                <w:noProof/>
                <w:webHidden/>
              </w:rPr>
              <w:t>14</w:t>
            </w:r>
            <w:r w:rsidR="0013082F">
              <w:rPr>
                <w:noProof/>
                <w:webHidden/>
              </w:rPr>
              <w:fldChar w:fldCharType="end"/>
            </w:r>
          </w:hyperlink>
        </w:p>
        <w:p w14:paraId="369A1D13" w14:textId="292F8A8B" w:rsidR="0013082F" w:rsidRDefault="00803A4B">
          <w:pPr>
            <w:pStyle w:val="TOC3"/>
            <w:tabs>
              <w:tab w:val="right" w:leader="dot" w:pos="9350"/>
            </w:tabs>
            <w:rPr>
              <w:rFonts w:eastAsiaTheme="minorEastAsia"/>
              <w:noProof/>
              <w:sz w:val="22"/>
              <w:lang w:eastAsia="en-CA"/>
            </w:rPr>
          </w:pPr>
          <w:hyperlink w:anchor="_Toc74895893" w:history="1">
            <w:r w:rsidR="0013082F" w:rsidRPr="009214E4">
              <w:rPr>
                <w:rStyle w:val="Hyperlink"/>
                <w:noProof/>
              </w:rPr>
              <w:t>Team-Based Model</w:t>
            </w:r>
            <w:r w:rsidR="0013082F">
              <w:rPr>
                <w:noProof/>
                <w:webHidden/>
              </w:rPr>
              <w:tab/>
            </w:r>
            <w:r w:rsidR="0013082F">
              <w:rPr>
                <w:noProof/>
                <w:webHidden/>
              </w:rPr>
              <w:fldChar w:fldCharType="begin"/>
            </w:r>
            <w:r w:rsidR="0013082F">
              <w:rPr>
                <w:noProof/>
                <w:webHidden/>
              </w:rPr>
              <w:instrText xml:space="preserve"> PAGEREF _Toc74895893 \h </w:instrText>
            </w:r>
            <w:r w:rsidR="0013082F">
              <w:rPr>
                <w:noProof/>
                <w:webHidden/>
              </w:rPr>
            </w:r>
            <w:r w:rsidR="0013082F">
              <w:rPr>
                <w:noProof/>
                <w:webHidden/>
              </w:rPr>
              <w:fldChar w:fldCharType="separate"/>
            </w:r>
            <w:r w:rsidR="00A40A5B">
              <w:rPr>
                <w:noProof/>
                <w:webHidden/>
              </w:rPr>
              <w:t>14</w:t>
            </w:r>
            <w:r w:rsidR="0013082F">
              <w:rPr>
                <w:noProof/>
                <w:webHidden/>
              </w:rPr>
              <w:fldChar w:fldCharType="end"/>
            </w:r>
          </w:hyperlink>
        </w:p>
        <w:p w14:paraId="515A34C6" w14:textId="5A231EA4" w:rsidR="0013082F" w:rsidRDefault="00803A4B">
          <w:pPr>
            <w:pStyle w:val="TOC2"/>
            <w:tabs>
              <w:tab w:val="right" w:leader="dot" w:pos="9350"/>
            </w:tabs>
            <w:rPr>
              <w:rFonts w:eastAsiaTheme="minorEastAsia"/>
              <w:noProof/>
              <w:sz w:val="22"/>
              <w:lang w:eastAsia="en-CA"/>
            </w:rPr>
          </w:pPr>
          <w:hyperlink w:anchor="_Toc74895894" w:history="1">
            <w:r w:rsidR="0013082F" w:rsidRPr="009214E4">
              <w:rPr>
                <w:rStyle w:val="Hyperlink"/>
                <w:noProof/>
              </w:rPr>
              <w:t>Recruitment and Succession Planning</w:t>
            </w:r>
            <w:r w:rsidR="0013082F">
              <w:rPr>
                <w:noProof/>
                <w:webHidden/>
              </w:rPr>
              <w:tab/>
            </w:r>
            <w:r w:rsidR="0013082F">
              <w:rPr>
                <w:noProof/>
                <w:webHidden/>
              </w:rPr>
              <w:fldChar w:fldCharType="begin"/>
            </w:r>
            <w:r w:rsidR="0013082F">
              <w:rPr>
                <w:noProof/>
                <w:webHidden/>
              </w:rPr>
              <w:instrText xml:space="preserve"> PAGEREF _Toc74895894 \h </w:instrText>
            </w:r>
            <w:r w:rsidR="0013082F">
              <w:rPr>
                <w:noProof/>
                <w:webHidden/>
              </w:rPr>
            </w:r>
            <w:r w:rsidR="0013082F">
              <w:rPr>
                <w:noProof/>
                <w:webHidden/>
              </w:rPr>
              <w:fldChar w:fldCharType="separate"/>
            </w:r>
            <w:r w:rsidR="00A40A5B">
              <w:rPr>
                <w:noProof/>
                <w:webHidden/>
              </w:rPr>
              <w:t>16</w:t>
            </w:r>
            <w:r w:rsidR="0013082F">
              <w:rPr>
                <w:noProof/>
                <w:webHidden/>
              </w:rPr>
              <w:fldChar w:fldCharType="end"/>
            </w:r>
          </w:hyperlink>
        </w:p>
        <w:p w14:paraId="0CA765BA" w14:textId="1BAE853B" w:rsidR="0013082F" w:rsidRDefault="00803A4B">
          <w:pPr>
            <w:pStyle w:val="TOC3"/>
            <w:tabs>
              <w:tab w:val="right" w:leader="dot" w:pos="9350"/>
            </w:tabs>
            <w:rPr>
              <w:rFonts w:eastAsiaTheme="minorEastAsia"/>
              <w:noProof/>
              <w:sz w:val="22"/>
              <w:lang w:eastAsia="en-CA"/>
            </w:rPr>
          </w:pPr>
          <w:hyperlink w:anchor="_Toc74895895" w:history="1">
            <w:r w:rsidR="0013082F" w:rsidRPr="009214E4">
              <w:rPr>
                <w:rStyle w:val="Hyperlink"/>
                <w:noProof/>
              </w:rPr>
              <w:t>Recruitment and Staffing</w:t>
            </w:r>
            <w:r w:rsidR="0013082F">
              <w:rPr>
                <w:noProof/>
                <w:webHidden/>
              </w:rPr>
              <w:tab/>
            </w:r>
            <w:r w:rsidR="0013082F">
              <w:rPr>
                <w:noProof/>
                <w:webHidden/>
              </w:rPr>
              <w:fldChar w:fldCharType="begin"/>
            </w:r>
            <w:r w:rsidR="0013082F">
              <w:rPr>
                <w:noProof/>
                <w:webHidden/>
              </w:rPr>
              <w:instrText xml:space="preserve"> PAGEREF _Toc74895895 \h </w:instrText>
            </w:r>
            <w:r w:rsidR="0013082F">
              <w:rPr>
                <w:noProof/>
                <w:webHidden/>
              </w:rPr>
            </w:r>
            <w:r w:rsidR="0013082F">
              <w:rPr>
                <w:noProof/>
                <w:webHidden/>
              </w:rPr>
              <w:fldChar w:fldCharType="separate"/>
            </w:r>
            <w:r w:rsidR="00A40A5B">
              <w:rPr>
                <w:noProof/>
                <w:webHidden/>
              </w:rPr>
              <w:t>16</w:t>
            </w:r>
            <w:r w:rsidR="0013082F">
              <w:rPr>
                <w:noProof/>
                <w:webHidden/>
              </w:rPr>
              <w:fldChar w:fldCharType="end"/>
            </w:r>
          </w:hyperlink>
        </w:p>
        <w:p w14:paraId="0CF6433A" w14:textId="786D94FF" w:rsidR="0013082F" w:rsidRDefault="00803A4B">
          <w:pPr>
            <w:pStyle w:val="TOC3"/>
            <w:tabs>
              <w:tab w:val="right" w:leader="dot" w:pos="9350"/>
            </w:tabs>
            <w:rPr>
              <w:rFonts w:eastAsiaTheme="minorEastAsia"/>
              <w:noProof/>
              <w:sz w:val="22"/>
              <w:lang w:eastAsia="en-CA"/>
            </w:rPr>
          </w:pPr>
          <w:hyperlink w:anchor="_Toc74895896" w:history="1">
            <w:r w:rsidR="0013082F" w:rsidRPr="009214E4">
              <w:rPr>
                <w:rStyle w:val="Hyperlink"/>
                <w:noProof/>
              </w:rPr>
              <w:t>Succession Planning</w:t>
            </w:r>
            <w:r w:rsidR="0013082F">
              <w:rPr>
                <w:noProof/>
                <w:webHidden/>
              </w:rPr>
              <w:tab/>
            </w:r>
            <w:r w:rsidR="0013082F">
              <w:rPr>
                <w:noProof/>
                <w:webHidden/>
              </w:rPr>
              <w:fldChar w:fldCharType="begin"/>
            </w:r>
            <w:r w:rsidR="0013082F">
              <w:rPr>
                <w:noProof/>
                <w:webHidden/>
              </w:rPr>
              <w:instrText xml:space="preserve"> PAGEREF _Toc74895896 \h </w:instrText>
            </w:r>
            <w:r w:rsidR="0013082F">
              <w:rPr>
                <w:noProof/>
                <w:webHidden/>
              </w:rPr>
            </w:r>
            <w:r w:rsidR="0013082F">
              <w:rPr>
                <w:noProof/>
                <w:webHidden/>
              </w:rPr>
              <w:fldChar w:fldCharType="separate"/>
            </w:r>
            <w:r w:rsidR="00A40A5B">
              <w:rPr>
                <w:noProof/>
                <w:webHidden/>
              </w:rPr>
              <w:t>16</w:t>
            </w:r>
            <w:r w:rsidR="0013082F">
              <w:rPr>
                <w:noProof/>
                <w:webHidden/>
              </w:rPr>
              <w:fldChar w:fldCharType="end"/>
            </w:r>
          </w:hyperlink>
        </w:p>
        <w:p w14:paraId="5E7DB374" w14:textId="765B2462" w:rsidR="0013082F" w:rsidRDefault="00803A4B">
          <w:pPr>
            <w:pStyle w:val="TOC3"/>
            <w:tabs>
              <w:tab w:val="right" w:leader="dot" w:pos="9350"/>
            </w:tabs>
            <w:rPr>
              <w:rFonts w:eastAsiaTheme="minorEastAsia"/>
              <w:noProof/>
              <w:sz w:val="22"/>
              <w:lang w:eastAsia="en-CA"/>
            </w:rPr>
          </w:pPr>
          <w:hyperlink w:anchor="_Toc74895897" w:history="1">
            <w:r w:rsidR="0013082F" w:rsidRPr="009214E4">
              <w:rPr>
                <w:rStyle w:val="Hyperlink"/>
                <w:noProof/>
              </w:rPr>
              <w:t>Staff Training</w:t>
            </w:r>
            <w:r w:rsidR="0013082F">
              <w:rPr>
                <w:noProof/>
                <w:webHidden/>
              </w:rPr>
              <w:tab/>
            </w:r>
            <w:r w:rsidR="0013082F">
              <w:rPr>
                <w:noProof/>
                <w:webHidden/>
              </w:rPr>
              <w:fldChar w:fldCharType="begin"/>
            </w:r>
            <w:r w:rsidR="0013082F">
              <w:rPr>
                <w:noProof/>
                <w:webHidden/>
              </w:rPr>
              <w:instrText xml:space="preserve"> PAGEREF _Toc74895897 \h </w:instrText>
            </w:r>
            <w:r w:rsidR="0013082F">
              <w:rPr>
                <w:noProof/>
                <w:webHidden/>
              </w:rPr>
            </w:r>
            <w:r w:rsidR="0013082F">
              <w:rPr>
                <w:noProof/>
                <w:webHidden/>
              </w:rPr>
              <w:fldChar w:fldCharType="separate"/>
            </w:r>
            <w:r w:rsidR="00A40A5B">
              <w:rPr>
                <w:noProof/>
                <w:webHidden/>
              </w:rPr>
              <w:t>17</w:t>
            </w:r>
            <w:r w:rsidR="0013082F">
              <w:rPr>
                <w:noProof/>
                <w:webHidden/>
              </w:rPr>
              <w:fldChar w:fldCharType="end"/>
            </w:r>
          </w:hyperlink>
        </w:p>
        <w:p w14:paraId="175A4980" w14:textId="24D5D64F" w:rsidR="0013082F" w:rsidRDefault="00803A4B">
          <w:pPr>
            <w:pStyle w:val="TOC3"/>
            <w:tabs>
              <w:tab w:val="right" w:leader="dot" w:pos="9350"/>
            </w:tabs>
            <w:rPr>
              <w:rFonts w:eastAsiaTheme="minorEastAsia"/>
              <w:noProof/>
              <w:sz w:val="22"/>
              <w:lang w:eastAsia="en-CA"/>
            </w:rPr>
          </w:pPr>
          <w:hyperlink w:anchor="_Toc74895898" w:history="1">
            <w:r w:rsidR="0013082F" w:rsidRPr="009214E4">
              <w:rPr>
                <w:rStyle w:val="Hyperlink"/>
                <w:noProof/>
              </w:rPr>
              <w:t>Alternate Work Arrangements (Telecommuting)</w:t>
            </w:r>
            <w:r w:rsidR="0013082F">
              <w:rPr>
                <w:noProof/>
                <w:webHidden/>
              </w:rPr>
              <w:tab/>
            </w:r>
            <w:r w:rsidR="0013082F">
              <w:rPr>
                <w:noProof/>
                <w:webHidden/>
              </w:rPr>
              <w:fldChar w:fldCharType="begin"/>
            </w:r>
            <w:r w:rsidR="0013082F">
              <w:rPr>
                <w:noProof/>
                <w:webHidden/>
              </w:rPr>
              <w:instrText xml:space="preserve"> PAGEREF _Toc74895898 \h </w:instrText>
            </w:r>
            <w:r w:rsidR="0013082F">
              <w:rPr>
                <w:noProof/>
                <w:webHidden/>
              </w:rPr>
            </w:r>
            <w:r w:rsidR="0013082F">
              <w:rPr>
                <w:noProof/>
                <w:webHidden/>
              </w:rPr>
              <w:fldChar w:fldCharType="separate"/>
            </w:r>
            <w:r w:rsidR="00A40A5B">
              <w:rPr>
                <w:noProof/>
                <w:webHidden/>
              </w:rPr>
              <w:t>18</w:t>
            </w:r>
            <w:r w:rsidR="0013082F">
              <w:rPr>
                <w:noProof/>
                <w:webHidden/>
              </w:rPr>
              <w:fldChar w:fldCharType="end"/>
            </w:r>
          </w:hyperlink>
        </w:p>
        <w:p w14:paraId="29596F70" w14:textId="1064A998" w:rsidR="0013082F" w:rsidRDefault="00803A4B">
          <w:pPr>
            <w:pStyle w:val="TOC2"/>
            <w:tabs>
              <w:tab w:val="right" w:leader="dot" w:pos="9350"/>
            </w:tabs>
            <w:rPr>
              <w:rFonts w:eastAsiaTheme="minorEastAsia"/>
              <w:noProof/>
              <w:sz w:val="22"/>
              <w:lang w:eastAsia="en-CA"/>
            </w:rPr>
          </w:pPr>
          <w:hyperlink w:anchor="_Toc74895900" w:history="1">
            <w:r w:rsidR="0013082F" w:rsidRPr="009214E4">
              <w:rPr>
                <w:rStyle w:val="Hyperlink"/>
                <w:noProof/>
              </w:rPr>
              <w:t>Business Process Improvement</w:t>
            </w:r>
            <w:r w:rsidR="0013082F">
              <w:rPr>
                <w:noProof/>
                <w:webHidden/>
              </w:rPr>
              <w:tab/>
            </w:r>
            <w:r w:rsidR="0013082F">
              <w:rPr>
                <w:noProof/>
                <w:webHidden/>
              </w:rPr>
              <w:fldChar w:fldCharType="begin"/>
            </w:r>
            <w:r w:rsidR="0013082F">
              <w:rPr>
                <w:noProof/>
                <w:webHidden/>
              </w:rPr>
              <w:instrText xml:space="preserve"> PAGEREF _Toc74895900 \h </w:instrText>
            </w:r>
            <w:r w:rsidR="0013082F">
              <w:rPr>
                <w:noProof/>
                <w:webHidden/>
              </w:rPr>
            </w:r>
            <w:r w:rsidR="0013082F">
              <w:rPr>
                <w:noProof/>
                <w:webHidden/>
              </w:rPr>
              <w:fldChar w:fldCharType="separate"/>
            </w:r>
            <w:r w:rsidR="00A40A5B">
              <w:rPr>
                <w:noProof/>
                <w:webHidden/>
              </w:rPr>
              <w:t>18</w:t>
            </w:r>
            <w:r w:rsidR="0013082F">
              <w:rPr>
                <w:noProof/>
                <w:webHidden/>
              </w:rPr>
              <w:fldChar w:fldCharType="end"/>
            </w:r>
          </w:hyperlink>
        </w:p>
        <w:p w14:paraId="6714E424" w14:textId="04644547" w:rsidR="0013082F" w:rsidRDefault="00803A4B">
          <w:pPr>
            <w:pStyle w:val="TOC2"/>
            <w:tabs>
              <w:tab w:val="right" w:leader="dot" w:pos="9350"/>
            </w:tabs>
            <w:rPr>
              <w:rFonts w:eastAsiaTheme="minorEastAsia"/>
              <w:noProof/>
              <w:sz w:val="22"/>
              <w:lang w:eastAsia="en-CA"/>
            </w:rPr>
          </w:pPr>
          <w:hyperlink w:anchor="_Toc74895901" w:history="1">
            <w:r w:rsidR="0013082F" w:rsidRPr="009214E4">
              <w:rPr>
                <w:rStyle w:val="Hyperlink"/>
                <w:noProof/>
              </w:rPr>
              <w:t>Database Renewal and Information Technology Enhancements</w:t>
            </w:r>
            <w:r w:rsidR="0013082F">
              <w:rPr>
                <w:noProof/>
                <w:webHidden/>
              </w:rPr>
              <w:tab/>
            </w:r>
            <w:r w:rsidR="0013082F">
              <w:rPr>
                <w:noProof/>
                <w:webHidden/>
              </w:rPr>
              <w:fldChar w:fldCharType="begin"/>
            </w:r>
            <w:r w:rsidR="0013082F">
              <w:rPr>
                <w:noProof/>
                <w:webHidden/>
              </w:rPr>
              <w:instrText xml:space="preserve"> PAGEREF _Toc74895901 \h </w:instrText>
            </w:r>
            <w:r w:rsidR="0013082F">
              <w:rPr>
                <w:noProof/>
                <w:webHidden/>
              </w:rPr>
            </w:r>
            <w:r w:rsidR="0013082F">
              <w:rPr>
                <w:noProof/>
                <w:webHidden/>
              </w:rPr>
              <w:fldChar w:fldCharType="separate"/>
            </w:r>
            <w:r w:rsidR="00A40A5B">
              <w:rPr>
                <w:noProof/>
                <w:webHidden/>
              </w:rPr>
              <w:t>19</w:t>
            </w:r>
            <w:r w:rsidR="0013082F">
              <w:rPr>
                <w:noProof/>
                <w:webHidden/>
              </w:rPr>
              <w:fldChar w:fldCharType="end"/>
            </w:r>
          </w:hyperlink>
        </w:p>
        <w:p w14:paraId="27812BB8" w14:textId="5C4CB193" w:rsidR="0013082F" w:rsidRDefault="00803A4B">
          <w:pPr>
            <w:pStyle w:val="TOC2"/>
            <w:tabs>
              <w:tab w:val="left" w:pos="660"/>
              <w:tab w:val="right" w:leader="dot" w:pos="9350"/>
            </w:tabs>
            <w:rPr>
              <w:rFonts w:eastAsiaTheme="minorEastAsia"/>
              <w:noProof/>
              <w:sz w:val="22"/>
              <w:lang w:eastAsia="en-CA"/>
            </w:rPr>
          </w:pPr>
          <w:hyperlink w:anchor="_Toc74895902" w:history="1">
            <w:r w:rsidR="0013082F" w:rsidRPr="009214E4">
              <w:rPr>
                <w:rStyle w:val="Hyperlink"/>
                <w:noProof/>
              </w:rPr>
              <w:t>2.</w:t>
            </w:r>
            <w:r w:rsidR="0013082F">
              <w:rPr>
                <w:rFonts w:eastAsiaTheme="minorEastAsia"/>
                <w:noProof/>
                <w:sz w:val="22"/>
                <w:lang w:eastAsia="en-CA"/>
              </w:rPr>
              <w:tab/>
            </w:r>
            <w:r w:rsidR="0013082F" w:rsidRPr="009214E4">
              <w:rPr>
                <w:rStyle w:val="Hyperlink"/>
                <w:noProof/>
              </w:rPr>
              <w:t>Promote the NEC</w:t>
            </w:r>
            <w:r w:rsidR="0013082F">
              <w:rPr>
                <w:noProof/>
                <w:webHidden/>
              </w:rPr>
              <w:tab/>
            </w:r>
            <w:r w:rsidR="0013082F">
              <w:rPr>
                <w:noProof/>
                <w:webHidden/>
              </w:rPr>
              <w:fldChar w:fldCharType="begin"/>
            </w:r>
            <w:r w:rsidR="0013082F">
              <w:rPr>
                <w:noProof/>
                <w:webHidden/>
              </w:rPr>
              <w:instrText xml:space="preserve"> PAGEREF _Toc74895902 \h </w:instrText>
            </w:r>
            <w:r w:rsidR="0013082F">
              <w:rPr>
                <w:noProof/>
                <w:webHidden/>
              </w:rPr>
            </w:r>
            <w:r w:rsidR="0013082F">
              <w:rPr>
                <w:noProof/>
                <w:webHidden/>
              </w:rPr>
              <w:fldChar w:fldCharType="separate"/>
            </w:r>
            <w:r w:rsidR="00A40A5B">
              <w:rPr>
                <w:noProof/>
                <w:webHidden/>
              </w:rPr>
              <w:t>23</w:t>
            </w:r>
            <w:r w:rsidR="0013082F">
              <w:rPr>
                <w:noProof/>
                <w:webHidden/>
              </w:rPr>
              <w:fldChar w:fldCharType="end"/>
            </w:r>
          </w:hyperlink>
        </w:p>
        <w:p w14:paraId="2177083D" w14:textId="4972C11A" w:rsidR="0013082F" w:rsidRDefault="00803A4B">
          <w:pPr>
            <w:pStyle w:val="TOC3"/>
            <w:tabs>
              <w:tab w:val="right" w:leader="dot" w:pos="9350"/>
            </w:tabs>
            <w:rPr>
              <w:rFonts w:eastAsiaTheme="minorEastAsia"/>
              <w:noProof/>
              <w:sz w:val="22"/>
              <w:lang w:eastAsia="en-CA"/>
            </w:rPr>
          </w:pPr>
          <w:hyperlink w:anchor="_Toc74895903" w:history="1">
            <w:r w:rsidR="0013082F" w:rsidRPr="009214E4">
              <w:rPr>
                <w:rStyle w:val="Hyperlink"/>
                <w:noProof/>
              </w:rPr>
              <w:t>Enhancing NEC’s Digital Products</w:t>
            </w:r>
            <w:r w:rsidR="0013082F">
              <w:rPr>
                <w:noProof/>
                <w:webHidden/>
              </w:rPr>
              <w:tab/>
            </w:r>
            <w:r w:rsidR="0013082F">
              <w:rPr>
                <w:noProof/>
                <w:webHidden/>
              </w:rPr>
              <w:fldChar w:fldCharType="begin"/>
            </w:r>
            <w:r w:rsidR="0013082F">
              <w:rPr>
                <w:noProof/>
                <w:webHidden/>
              </w:rPr>
              <w:instrText xml:space="preserve"> PAGEREF _Toc74895903 \h </w:instrText>
            </w:r>
            <w:r w:rsidR="0013082F">
              <w:rPr>
                <w:noProof/>
                <w:webHidden/>
              </w:rPr>
            </w:r>
            <w:r w:rsidR="0013082F">
              <w:rPr>
                <w:noProof/>
                <w:webHidden/>
              </w:rPr>
              <w:fldChar w:fldCharType="separate"/>
            </w:r>
            <w:r w:rsidR="00A40A5B">
              <w:rPr>
                <w:noProof/>
                <w:webHidden/>
              </w:rPr>
              <w:t>24</w:t>
            </w:r>
            <w:r w:rsidR="0013082F">
              <w:rPr>
                <w:noProof/>
                <w:webHidden/>
              </w:rPr>
              <w:fldChar w:fldCharType="end"/>
            </w:r>
          </w:hyperlink>
        </w:p>
        <w:p w14:paraId="6E83D031" w14:textId="4DB37E7C" w:rsidR="0013082F" w:rsidRDefault="00803A4B">
          <w:pPr>
            <w:pStyle w:val="TOC2"/>
            <w:tabs>
              <w:tab w:val="left" w:pos="660"/>
              <w:tab w:val="right" w:leader="dot" w:pos="9350"/>
            </w:tabs>
            <w:rPr>
              <w:rFonts w:eastAsiaTheme="minorEastAsia"/>
              <w:noProof/>
              <w:sz w:val="22"/>
              <w:lang w:eastAsia="en-CA"/>
            </w:rPr>
          </w:pPr>
          <w:hyperlink w:anchor="_Toc74895904" w:history="1">
            <w:r w:rsidR="0013082F" w:rsidRPr="009214E4">
              <w:rPr>
                <w:rStyle w:val="Hyperlink"/>
                <w:noProof/>
              </w:rPr>
              <w:t>3.</w:t>
            </w:r>
            <w:r w:rsidR="0013082F">
              <w:rPr>
                <w:rFonts w:eastAsiaTheme="minorEastAsia"/>
                <w:noProof/>
                <w:sz w:val="22"/>
                <w:lang w:eastAsia="en-CA"/>
              </w:rPr>
              <w:tab/>
            </w:r>
            <w:r w:rsidR="0013082F" w:rsidRPr="009214E4">
              <w:rPr>
                <w:rStyle w:val="Hyperlink"/>
                <w:noProof/>
              </w:rPr>
              <w:t>Streamline and Modernize Regulations and Legislation</w:t>
            </w:r>
            <w:r w:rsidR="0013082F">
              <w:rPr>
                <w:noProof/>
                <w:webHidden/>
              </w:rPr>
              <w:tab/>
            </w:r>
            <w:r w:rsidR="0013082F">
              <w:rPr>
                <w:noProof/>
                <w:webHidden/>
              </w:rPr>
              <w:fldChar w:fldCharType="begin"/>
            </w:r>
            <w:r w:rsidR="0013082F">
              <w:rPr>
                <w:noProof/>
                <w:webHidden/>
              </w:rPr>
              <w:instrText xml:space="preserve"> PAGEREF _Toc74895904 \h </w:instrText>
            </w:r>
            <w:r w:rsidR="0013082F">
              <w:rPr>
                <w:noProof/>
                <w:webHidden/>
              </w:rPr>
            </w:r>
            <w:r w:rsidR="0013082F">
              <w:rPr>
                <w:noProof/>
                <w:webHidden/>
              </w:rPr>
              <w:fldChar w:fldCharType="separate"/>
            </w:r>
            <w:r w:rsidR="00A40A5B">
              <w:rPr>
                <w:noProof/>
                <w:webHidden/>
              </w:rPr>
              <w:t>26</w:t>
            </w:r>
            <w:r w:rsidR="0013082F">
              <w:rPr>
                <w:noProof/>
                <w:webHidden/>
              </w:rPr>
              <w:fldChar w:fldCharType="end"/>
            </w:r>
          </w:hyperlink>
        </w:p>
        <w:p w14:paraId="51D6E54E" w14:textId="2AE4177B" w:rsidR="0013082F" w:rsidRDefault="00803A4B">
          <w:pPr>
            <w:pStyle w:val="TOC3"/>
            <w:tabs>
              <w:tab w:val="right" w:leader="dot" w:pos="9350"/>
            </w:tabs>
            <w:rPr>
              <w:rFonts w:eastAsiaTheme="minorEastAsia"/>
              <w:noProof/>
              <w:sz w:val="22"/>
              <w:lang w:eastAsia="en-CA"/>
            </w:rPr>
          </w:pPr>
          <w:hyperlink w:anchor="_Toc74895905" w:history="1">
            <w:r w:rsidR="0013082F" w:rsidRPr="009214E4">
              <w:rPr>
                <w:rStyle w:val="Hyperlink"/>
                <w:noProof/>
              </w:rPr>
              <w:t>Phase 1 - Modernization of Regulation 826</w:t>
            </w:r>
            <w:r w:rsidR="0013082F">
              <w:rPr>
                <w:noProof/>
                <w:webHidden/>
              </w:rPr>
              <w:tab/>
            </w:r>
            <w:r w:rsidR="0013082F">
              <w:rPr>
                <w:noProof/>
                <w:webHidden/>
              </w:rPr>
              <w:fldChar w:fldCharType="begin"/>
            </w:r>
            <w:r w:rsidR="0013082F">
              <w:rPr>
                <w:noProof/>
                <w:webHidden/>
              </w:rPr>
              <w:instrText xml:space="preserve"> PAGEREF _Toc74895905 \h </w:instrText>
            </w:r>
            <w:r w:rsidR="0013082F">
              <w:rPr>
                <w:noProof/>
                <w:webHidden/>
              </w:rPr>
            </w:r>
            <w:r w:rsidR="0013082F">
              <w:rPr>
                <w:noProof/>
                <w:webHidden/>
              </w:rPr>
              <w:fldChar w:fldCharType="separate"/>
            </w:r>
            <w:r w:rsidR="00A40A5B">
              <w:rPr>
                <w:noProof/>
                <w:webHidden/>
              </w:rPr>
              <w:t>26</w:t>
            </w:r>
            <w:r w:rsidR="0013082F">
              <w:rPr>
                <w:noProof/>
                <w:webHidden/>
              </w:rPr>
              <w:fldChar w:fldCharType="end"/>
            </w:r>
          </w:hyperlink>
        </w:p>
        <w:p w14:paraId="3C27C4C4" w14:textId="50AA521E" w:rsidR="0013082F" w:rsidRDefault="00803A4B">
          <w:pPr>
            <w:pStyle w:val="TOC3"/>
            <w:tabs>
              <w:tab w:val="right" w:leader="dot" w:pos="9350"/>
            </w:tabs>
            <w:rPr>
              <w:rFonts w:eastAsiaTheme="minorEastAsia"/>
              <w:noProof/>
              <w:sz w:val="22"/>
              <w:lang w:eastAsia="en-CA"/>
            </w:rPr>
          </w:pPr>
          <w:hyperlink w:anchor="_Toc74895906" w:history="1">
            <w:r w:rsidR="0013082F" w:rsidRPr="009214E4">
              <w:rPr>
                <w:rStyle w:val="Hyperlink"/>
                <w:noProof/>
              </w:rPr>
              <w:t>Phase 2 - Rationalizing the Development Control Boundary</w:t>
            </w:r>
            <w:r w:rsidR="0013082F">
              <w:rPr>
                <w:noProof/>
                <w:webHidden/>
              </w:rPr>
              <w:tab/>
            </w:r>
            <w:r w:rsidR="0013082F">
              <w:rPr>
                <w:noProof/>
                <w:webHidden/>
              </w:rPr>
              <w:fldChar w:fldCharType="begin"/>
            </w:r>
            <w:r w:rsidR="0013082F">
              <w:rPr>
                <w:noProof/>
                <w:webHidden/>
              </w:rPr>
              <w:instrText xml:space="preserve"> PAGEREF _Toc74895906 \h </w:instrText>
            </w:r>
            <w:r w:rsidR="0013082F">
              <w:rPr>
                <w:noProof/>
                <w:webHidden/>
              </w:rPr>
            </w:r>
            <w:r w:rsidR="0013082F">
              <w:rPr>
                <w:noProof/>
                <w:webHidden/>
              </w:rPr>
              <w:fldChar w:fldCharType="separate"/>
            </w:r>
            <w:r w:rsidR="00A40A5B">
              <w:rPr>
                <w:noProof/>
                <w:webHidden/>
              </w:rPr>
              <w:t>26</w:t>
            </w:r>
            <w:r w:rsidR="0013082F">
              <w:rPr>
                <w:noProof/>
                <w:webHidden/>
              </w:rPr>
              <w:fldChar w:fldCharType="end"/>
            </w:r>
          </w:hyperlink>
        </w:p>
        <w:p w14:paraId="5CB46E77" w14:textId="44BC4A7D" w:rsidR="0013082F" w:rsidRDefault="00803A4B">
          <w:pPr>
            <w:pStyle w:val="TOC3"/>
            <w:tabs>
              <w:tab w:val="right" w:leader="dot" w:pos="9350"/>
            </w:tabs>
            <w:rPr>
              <w:rFonts w:eastAsiaTheme="minorEastAsia"/>
              <w:noProof/>
              <w:sz w:val="22"/>
              <w:lang w:eastAsia="en-CA"/>
            </w:rPr>
          </w:pPr>
          <w:hyperlink w:anchor="_Toc74895907" w:history="1">
            <w:r w:rsidR="0013082F" w:rsidRPr="009214E4">
              <w:rPr>
                <w:rStyle w:val="Hyperlink"/>
                <w:noProof/>
              </w:rPr>
              <w:t>Modernized Legislation</w:t>
            </w:r>
            <w:r w:rsidR="0013082F">
              <w:rPr>
                <w:noProof/>
                <w:webHidden/>
              </w:rPr>
              <w:tab/>
            </w:r>
            <w:r w:rsidR="0013082F">
              <w:rPr>
                <w:noProof/>
                <w:webHidden/>
              </w:rPr>
              <w:fldChar w:fldCharType="begin"/>
            </w:r>
            <w:r w:rsidR="0013082F">
              <w:rPr>
                <w:noProof/>
                <w:webHidden/>
              </w:rPr>
              <w:instrText xml:space="preserve"> PAGEREF _Toc74895907 \h </w:instrText>
            </w:r>
            <w:r w:rsidR="0013082F">
              <w:rPr>
                <w:noProof/>
                <w:webHidden/>
              </w:rPr>
            </w:r>
            <w:r w:rsidR="0013082F">
              <w:rPr>
                <w:noProof/>
                <w:webHidden/>
              </w:rPr>
              <w:fldChar w:fldCharType="separate"/>
            </w:r>
            <w:r w:rsidR="00A40A5B">
              <w:rPr>
                <w:noProof/>
                <w:webHidden/>
              </w:rPr>
              <w:t>27</w:t>
            </w:r>
            <w:r w:rsidR="0013082F">
              <w:rPr>
                <w:noProof/>
                <w:webHidden/>
              </w:rPr>
              <w:fldChar w:fldCharType="end"/>
            </w:r>
          </w:hyperlink>
        </w:p>
        <w:p w14:paraId="10FEAE37" w14:textId="56A41E3B" w:rsidR="0013082F" w:rsidRDefault="00803A4B">
          <w:pPr>
            <w:pStyle w:val="TOC1"/>
            <w:rPr>
              <w:rFonts w:eastAsiaTheme="minorEastAsia"/>
              <w:b w:val="0"/>
              <w:bCs w:val="0"/>
              <w:w w:val="100"/>
              <w:sz w:val="22"/>
              <w:lang w:eastAsia="en-CA"/>
            </w:rPr>
          </w:pPr>
          <w:hyperlink w:anchor="_Toc74895908" w:history="1">
            <w:r w:rsidR="0013082F" w:rsidRPr="009214E4">
              <w:rPr>
                <w:rStyle w:val="Hyperlink"/>
              </w:rPr>
              <w:t>Activity Reports</w:t>
            </w:r>
            <w:r w:rsidR="0013082F">
              <w:rPr>
                <w:webHidden/>
              </w:rPr>
              <w:tab/>
            </w:r>
            <w:r w:rsidR="0013082F">
              <w:rPr>
                <w:webHidden/>
              </w:rPr>
              <w:fldChar w:fldCharType="begin"/>
            </w:r>
            <w:r w:rsidR="0013082F">
              <w:rPr>
                <w:webHidden/>
              </w:rPr>
              <w:instrText xml:space="preserve"> PAGEREF _Toc74895908 \h </w:instrText>
            </w:r>
            <w:r w:rsidR="0013082F">
              <w:rPr>
                <w:webHidden/>
              </w:rPr>
            </w:r>
            <w:r w:rsidR="0013082F">
              <w:rPr>
                <w:webHidden/>
              </w:rPr>
              <w:fldChar w:fldCharType="separate"/>
            </w:r>
            <w:r w:rsidR="00A40A5B">
              <w:rPr>
                <w:webHidden/>
              </w:rPr>
              <w:t>28</w:t>
            </w:r>
            <w:r w:rsidR="0013082F">
              <w:rPr>
                <w:webHidden/>
              </w:rPr>
              <w:fldChar w:fldCharType="end"/>
            </w:r>
          </w:hyperlink>
        </w:p>
        <w:p w14:paraId="3D9EE8AB" w14:textId="3EC158C6" w:rsidR="0013082F" w:rsidRDefault="00803A4B">
          <w:pPr>
            <w:pStyle w:val="TOC2"/>
            <w:tabs>
              <w:tab w:val="right" w:leader="dot" w:pos="9350"/>
            </w:tabs>
            <w:rPr>
              <w:rFonts w:eastAsiaTheme="minorEastAsia"/>
              <w:noProof/>
              <w:sz w:val="22"/>
              <w:lang w:eastAsia="en-CA"/>
            </w:rPr>
          </w:pPr>
          <w:hyperlink w:anchor="_Toc74895910" w:history="1">
            <w:r w:rsidR="0013082F" w:rsidRPr="009214E4">
              <w:rPr>
                <w:rStyle w:val="Hyperlink"/>
                <w:noProof/>
              </w:rPr>
              <w:t>Niagara Escarpment Plan Implementation</w:t>
            </w:r>
            <w:r w:rsidR="0013082F">
              <w:rPr>
                <w:noProof/>
                <w:webHidden/>
              </w:rPr>
              <w:tab/>
            </w:r>
            <w:r w:rsidR="0013082F">
              <w:rPr>
                <w:noProof/>
                <w:webHidden/>
              </w:rPr>
              <w:fldChar w:fldCharType="begin"/>
            </w:r>
            <w:r w:rsidR="0013082F">
              <w:rPr>
                <w:noProof/>
                <w:webHidden/>
              </w:rPr>
              <w:instrText xml:space="preserve"> PAGEREF _Toc74895910 \h </w:instrText>
            </w:r>
            <w:r w:rsidR="0013082F">
              <w:rPr>
                <w:noProof/>
                <w:webHidden/>
              </w:rPr>
            </w:r>
            <w:r w:rsidR="0013082F">
              <w:rPr>
                <w:noProof/>
                <w:webHidden/>
              </w:rPr>
              <w:fldChar w:fldCharType="separate"/>
            </w:r>
            <w:r w:rsidR="00A40A5B">
              <w:rPr>
                <w:noProof/>
                <w:webHidden/>
              </w:rPr>
              <w:t>29</w:t>
            </w:r>
            <w:r w:rsidR="0013082F">
              <w:rPr>
                <w:noProof/>
                <w:webHidden/>
              </w:rPr>
              <w:fldChar w:fldCharType="end"/>
            </w:r>
          </w:hyperlink>
        </w:p>
        <w:p w14:paraId="1450BDB1" w14:textId="72CADB23" w:rsidR="0013082F" w:rsidRDefault="00803A4B">
          <w:pPr>
            <w:pStyle w:val="TOC2"/>
            <w:tabs>
              <w:tab w:val="right" w:leader="dot" w:pos="9350"/>
            </w:tabs>
            <w:rPr>
              <w:rFonts w:eastAsiaTheme="minorEastAsia"/>
              <w:noProof/>
              <w:sz w:val="22"/>
              <w:lang w:eastAsia="en-CA"/>
            </w:rPr>
          </w:pPr>
          <w:hyperlink w:anchor="_Toc74895911" w:history="1">
            <w:r w:rsidR="0013082F" w:rsidRPr="009214E4">
              <w:rPr>
                <w:rStyle w:val="Hyperlink"/>
                <w:noProof/>
              </w:rPr>
              <w:t>Development Permit Activity</w:t>
            </w:r>
            <w:r w:rsidR="0013082F">
              <w:rPr>
                <w:noProof/>
                <w:webHidden/>
              </w:rPr>
              <w:tab/>
            </w:r>
            <w:r w:rsidR="0013082F">
              <w:rPr>
                <w:noProof/>
                <w:webHidden/>
              </w:rPr>
              <w:fldChar w:fldCharType="begin"/>
            </w:r>
            <w:r w:rsidR="0013082F">
              <w:rPr>
                <w:noProof/>
                <w:webHidden/>
              </w:rPr>
              <w:instrText xml:space="preserve"> PAGEREF _Toc74895911 \h </w:instrText>
            </w:r>
            <w:r w:rsidR="0013082F">
              <w:rPr>
                <w:noProof/>
                <w:webHidden/>
              </w:rPr>
            </w:r>
            <w:r w:rsidR="0013082F">
              <w:rPr>
                <w:noProof/>
                <w:webHidden/>
              </w:rPr>
              <w:fldChar w:fldCharType="separate"/>
            </w:r>
            <w:r w:rsidR="00A40A5B">
              <w:rPr>
                <w:noProof/>
                <w:webHidden/>
              </w:rPr>
              <w:t>31</w:t>
            </w:r>
            <w:r w:rsidR="0013082F">
              <w:rPr>
                <w:noProof/>
                <w:webHidden/>
              </w:rPr>
              <w:fldChar w:fldCharType="end"/>
            </w:r>
          </w:hyperlink>
        </w:p>
        <w:p w14:paraId="7889F368" w14:textId="6C226E58" w:rsidR="0013082F" w:rsidRDefault="00803A4B">
          <w:pPr>
            <w:pStyle w:val="TOC2"/>
            <w:tabs>
              <w:tab w:val="right" w:leader="dot" w:pos="9350"/>
            </w:tabs>
            <w:rPr>
              <w:rFonts w:eastAsiaTheme="minorEastAsia"/>
              <w:noProof/>
              <w:sz w:val="22"/>
              <w:lang w:eastAsia="en-CA"/>
            </w:rPr>
          </w:pPr>
          <w:hyperlink w:anchor="_Toc74895912" w:history="1">
            <w:r w:rsidR="0013082F" w:rsidRPr="009214E4">
              <w:rPr>
                <w:rStyle w:val="Hyperlink"/>
                <w:noProof/>
              </w:rPr>
              <w:t>Niagara Escarpment Plan Amendments</w:t>
            </w:r>
            <w:r w:rsidR="0013082F">
              <w:rPr>
                <w:noProof/>
                <w:webHidden/>
              </w:rPr>
              <w:tab/>
            </w:r>
            <w:r w:rsidR="0013082F">
              <w:rPr>
                <w:noProof/>
                <w:webHidden/>
              </w:rPr>
              <w:fldChar w:fldCharType="begin"/>
            </w:r>
            <w:r w:rsidR="0013082F">
              <w:rPr>
                <w:noProof/>
                <w:webHidden/>
              </w:rPr>
              <w:instrText xml:space="preserve"> PAGEREF _Toc74895912 \h </w:instrText>
            </w:r>
            <w:r w:rsidR="0013082F">
              <w:rPr>
                <w:noProof/>
                <w:webHidden/>
              </w:rPr>
            </w:r>
            <w:r w:rsidR="0013082F">
              <w:rPr>
                <w:noProof/>
                <w:webHidden/>
              </w:rPr>
              <w:fldChar w:fldCharType="separate"/>
            </w:r>
            <w:r w:rsidR="00A40A5B">
              <w:rPr>
                <w:noProof/>
                <w:webHidden/>
              </w:rPr>
              <w:t>38</w:t>
            </w:r>
            <w:r w:rsidR="0013082F">
              <w:rPr>
                <w:noProof/>
                <w:webHidden/>
              </w:rPr>
              <w:fldChar w:fldCharType="end"/>
            </w:r>
          </w:hyperlink>
        </w:p>
        <w:p w14:paraId="5F4BE141" w14:textId="3A70FDAE" w:rsidR="0013082F" w:rsidRDefault="00803A4B">
          <w:pPr>
            <w:pStyle w:val="TOC2"/>
            <w:tabs>
              <w:tab w:val="right" w:leader="dot" w:pos="9350"/>
            </w:tabs>
            <w:rPr>
              <w:rFonts w:eastAsiaTheme="minorEastAsia"/>
              <w:noProof/>
              <w:sz w:val="22"/>
              <w:lang w:eastAsia="en-CA"/>
            </w:rPr>
          </w:pPr>
          <w:hyperlink w:anchor="_Toc74895913" w:history="1">
            <w:r w:rsidR="0013082F" w:rsidRPr="009214E4">
              <w:rPr>
                <w:rStyle w:val="Hyperlink"/>
                <w:noProof/>
              </w:rPr>
              <w:t>Niagara Escarpment Parks and Open Space System</w:t>
            </w:r>
            <w:r w:rsidR="0013082F">
              <w:rPr>
                <w:noProof/>
                <w:webHidden/>
              </w:rPr>
              <w:tab/>
            </w:r>
            <w:r w:rsidR="0013082F">
              <w:rPr>
                <w:noProof/>
                <w:webHidden/>
              </w:rPr>
              <w:fldChar w:fldCharType="begin"/>
            </w:r>
            <w:r w:rsidR="0013082F">
              <w:rPr>
                <w:noProof/>
                <w:webHidden/>
              </w:rPr>
              <w:instrText xml:space="preserve"> PAGEREF _Toc74895913 \h </w:instrText>
            </w:r>
            <w:r w:rsidR="0013082F">
              <w:rPr>
                <w:noProof/>
                <w:webHidden/>
              </w:rPr>
            </w:r>
            <w:r w:rsidR="0013082F">
              <w:rPr>
                <w:noProof/>
                <w:webHidden/>
              </w:rPr>
              <w:fldChar w:fldCharType="separate"/>
            </w:r>
            <w:r w:rsidR="00A40A5B">
              <w:rPr>
                <w:noProof/>
                <w:webHidden/>
              </w:rPr>
              <w:t>41</w:t>
            </w:r>
            <w:r w:rsidR="0013082F">
              <w:rPr>
                <w:noProof/>
                <w:webHidden/>
              </w:rPr>
              <w:fldChar w:fldCharType="end"/>
            </w:r>
          </w:hyperlink>
        </w:p>
        <w:p w14:paraId="7D0D59D8" w14:textId="50873AE5" w:rsidR="0013082F" w:rsidRDefault="00803A4B">
          <w:pPr>
            <w:pStyle w:val="TOC2"/>
            <w:tabs>
              <w:tab w:val="right" w:leader="dot" w:pos="9350"/>
            </w:tabs>
            <w:rPr>
              <w:rFonts w:eastAsiaTheme="minorEastAsia"/>
              <w:noProof/>
              <w:sz w:val="22"/>
              <w:lang w:eastAsia="en-CA"/>
            </w:rPr>
          </w:pPr>
          <w:hyperlink w:anchor="_Toc74895914" w:history="1">
            <w:r w:rsidR="0013082F" w:rsidRPr="009214E4">
              <w:rPr>
                <w:rStyle w:val="Hyperlink"/>
                <w:noProof/>
              </w:rPr>
              <w:t>Compliance Program</w:t>
            </w:r>
            <w:r w:rsidR="0013082F">
              <w:rPr>
                <w:noProof/>
                <w:webHidden/>
              </w:rPr>
              <w:tab/>
            </w:r>
            <w:r w:rsidR="0013082F">
              <w:rPr>
                <w:noProof/>
                <w:webHidden/>
              </w:rPr>
              <w:fldChar w:fldCharType="begin"/>
            </w:r>
            <w:r w:rsidR="0013082F">
              <w:rPr>
                <w:noProof/>
                <w:webHidden/>
              </w:rPr>
              <w:instrText xml:space="preserve"> PAGEREF _Toc74895914 \h </w:instrText>
            </w:r>
            <w:r w:rsidR="0013082F">
              <w:rPr>
                <w:noProof/>
                <w:webHidden/>
              </w:rPr>
            </w:r>
            <w:r w:rsidR="0013082F">
              <w:rPr>
                <w:noProof/>
                <w:webHidden/>
              </w:rPr>
              <w:fldChar w:fldCharType="separate"/>
            </w:r>
            <w:r w:rsidR="00A40A5B">
              <w:rPr>
                <w:noProof/>
                <w:webHidden/>
              </w:rPr>
              <w:t>43</w:t>
            </w:r>
            <w:r w:rsidR="0013082F">
              <w:rPr>
                <w:noProof/>
                <w:webHidden/>
              </w:rPr>
              <w:fldChar w:fldCharType="end"/>
            </w:r>
          </w:hyperlink>
        </w:p>
        <w:p w14:paraId="043CAE81" w14:textId="502CBD9D" w:rsidR="0013082F" w:rsidRDefault="00803A4B">
          <w:pPr>
            <w:pStyle w:val="TOC2"/>
            <w:tabs>
              <w:tab w:val="right" w:leader="dot" w:pos="9350"/>
            </w:tabs>
            <w:rPr>
              <w:rFonts w:eastAsiaTheme="minorEastAsia"/>
              <w:noProof/>
              <w:sz w:val="22"/>
              <w:lang w:eastAsia="en-CA"/>
            </w:rPr>
          </w:pPr>
          <w:hyperlink w:anchor="_Toc74895915" w:history="1">
            <w:r w:rsidR="0013082F" w:rsidRPr="009214E4">
              <w:rPr>
                <w:rStyle w:val="Hyperlink"/>
                <w:noProof/>
              </w:rPr>
              <w:t>Environmental Monitoring</w:t>
            </w:r>
            <w:r w:rsidR="0013082F">
              <w:rPr>
                <w:noProof/>
                <w:webHidden/>
              </w:rPr>
              <w:tab/>
            </w:r>
            <w:r w:rsidR="0013082F">
              <w:rPr>
                <w:noProof/>
                <w:webHidden/>
              </w:rPr>
              <w:fldChar w:fldCharType="begin"/>
            </w:r>
            <w:r w:rsidR="0013082F">
              <w:rPr>
                <w:noProof/>
                <w:webHidden/>
              </w:rPr>
              <w:instrText xml:space="preserve"> PAGEREF _Toc74895915 \h </w:instrText>
            </w:r>
            <w:r w:rsidR="0013082F">
              <w:rPr>
                <w:noProof/>
                <w:webHidden/>
              </w:rPr>
            </w:r>
            <w:r w:rsidR="0013082F">
              <w:rPr>
                <w:noProof/>
                <w:webHidden/>
              </w:rPr>
              <w:fldChar w:fldCharType="separate"/>
            </w:r>
            <w:r w:rsidR="00A40A5B">
              <w:rPr>
                <w:noProof/>
                <w:webHidden/>
              </w:rPr>
              <w:t>47</w:t>
            </w:r>
            <w:r w:rsidR="0013082F">
              <w:rPr>
                <w:noProof/>
                <w:webHidden/>
              </w:rPr>
              <w:fldChar w:fldCharType="end"/>
            </w:r>
          </w:hyperlink>
        </w:p>
        <w:p w14:paraId="26FF483B" w14:textId="5D1A935A" w:rsidR="0013082F" w:rsidRDefault="00803A4B">
          <w:pPr>
            <w:pStyle w:val="TOC2"/>
            <w:tabs>
              <w:tab w:val="right" w:leader="dot" w:pos="9350"/>
            </w:tabs>
            <w:rPr>
              <w:rFonts w:eastAsiaTheme="minorEastAsia"/>
              <w:noProof/>
              <w:sz w:val="22"/>
              <w:lang w:eastAsia="en-CA"/>
            </w:rPr>
          </w:pPr>
          <w:hyperlink w:anchor="_Toc74895916" w:history="1">
            <w:r w:rsidR="0013082F" w:rsidRPr="009214E4">
              <w:rPr>
                <w:rStyle w:val="Hyperlink"/>
                <w:noProof/>
              </w:rPr>
              <w:t>Niagara Escarpment Biosphere</w:t>
            </w:r>
            <w:r w:rsidR="0013082F">
              <w:rPr>
                <w:noProof/>
                <w:webHidden/>
              </w:rPr>
              <w:tab/>
            </w:r>
            <w:r w:rsidR="0013082F">
              <w:rPr>
                <w:noProof/>
                <w:webHidden/>
              </w:rPr>
              <w:fldChar w:fldCharType="begin"/>
            </w:r>
            <w:r w:rsidR="0013082F">
              <w:rPr>
                <w:noProof/>
                <w:webHidden/>
              </w:rPr>
              <w:instrText xml:space="preserve"> PAGEREF _Toc74895916 \h </w:instrText>
            </w:r>
            <w:r w:rsidR="0013082F">
              <w:rPr>
                <w:noProof/>
                <w:webHidden/>
              </w:rPr>
            </w:r>
            <w:r w:rsidR="0013082F">
              <w:rPr>
                <w:noProof/>
                <w:webHidden/>
              </w:rPr>
              <w:fldChar w:fldCharType="separate"/>
            </w:r>
            <w:r w:rsidR="00A40A5B">
              <w:rPr>
                <w:noProof/>
                <w:webHidden/>
              </w:rPr>
              <w:t>48</w:t>
            </w:r>
            <w:r w:rsidR="0013082F">
              <w:rPr>
                <w:noProof/>
                <w:webHidden/>
              </w:rPr>
              <w:fldChar w:fldCharType="end"/>
            </w:r>
          </w:hyperlink>
        </w:p>
        <w:p w14:paraId="2A82D035" w14:textId="46758D6B" w:rsidR="0013082F" w:rsidRDefault="00803A4B">
          <w:pPr>
            <w:pStyle w:val="TOC2"/>
            <w:tabs>
              <w:tab w:val="right" w:leader="dot" w:pos="9350"/>
            </w:tabs>
            <w:rPr>
              <w:rFonts w:eastAsiaTheme="minorEastAsia"/>
              <w:noProof/>
              <w:sz w:val="22"/>
              <w:lang w:eastAsia="en-CA"/>
            </w:rPr>
          </w:pPr>
          <w:hyperlink w:anchor="_Toc74895917" w:history="1">
            <w:r w:rsidR="0013082F" w:rsidRPr="009214E4">
              <w:rPr>
                <w:rStyle w:val="Hyperlink"/>
                <w:noProof/>
              </w:rPr>
              <w:t>Performance Measures</w:t>
            </w:r>
            <w:r w:rsidR="0013082F">
              <w:rPr>
                <w:noProof/>
                <w:webHidden/>
              </w:rPr>
              <w:tab/>
            </w:r>
            <w:r w:rsidR="0013082F">
              <w:rPr>
                <w:noProof/>
                <w:webHidden/>
              </w:rPr>
              <w:fldChar w:fldCharType="begin"/>
            </w:r>
            <w:r w:rsidR="0013082F">
              <w:rPr>
                <w:noProof/>
                <w:webHidden/>
              </w:rPr>
              <w:instrText xml:space="preserve"> PAGEREF _Toc74895917 \h </w:instrText>
            </w:r>
            <w:r w:rsidR="0013082F">
              <w:rPr>
                <w:noProof/>
                <w:webHidden/>
              </w:rPr>
            </w:r>
            <w:r w:rsidR="0013082F">
              <w:rPr>
                <w:noProof/>
                <w:webHidden/>
              </w:rPr>
              <w:fldChar w:fldCharType="separate"/>
            </w:r>
            <w:r w:rsidR="00A40A5B">
              <w:rPr>
                <w:noProof/>
                <w:webHidden/>
              </w:rPr>
              <w:t>49</w:t>
            </w:r>
            <w:r w:rsidR="0013082F">
              <w:rPr>
                <w:noProof/>
                <w:webHidden/>
              </w:rPr>
              <w:fldChar w:fldCharType="end"/>
            </w:r>
          </w:hyperlink>
        </w:p>
        <w:p w14:paraId="777A53BF" w14:textId="0C466A6A" w:rsidR="0013082F" w:rsidRDefault="00803A4B">
          <w:pPr>
            <w:pStyle w:val="TOC2"/>
            <w:tabs>
              <w:tab w:val="right" w:leader="dot" w:pos="9350"/>
            </w:tabs>
            <w:rPr>
              <w:rFonts w:eastAsiaTheme="minorEastAsia"/>
              <w:noProof/>
              <w:sz w:val="22"/>
              <w:lang w:eastAsia="en-CA"/>
            </w:rPr>
          </w:pPr>
          <w:hyperlink w:anchor="_Toc74895918" w:history="1">
            <w:r w:rsidR="0013082F" w:rsidRPr="009214E4">
              <w:rPr>
                <w:rStyle w:val="Hyperlink"/>
                <w:noProof/>
              </w:rPr>
              <w:t>Financial Summary</w:t>
            </w:r>
            <w:r w:rsidR="0013082F">
              <w:rPr>
                <w:noProof/>
                <w:webHidden/>
              </w:rPr>
              <w:tab/>
            </w:r>
            <w:r w:rsidR="0013082F">
              <w:rPr>
                <w:noProof/>
                <w:webHidden/>
              </w:rPr>
              <w:fldChar w:fldCharType="begin"/>
            </w:r>
            <w:r w:rsidR="0013082F">
              <w:rPr>
                <w:noProof/>
                <w:webHidden/>
              </w:rPr>
              <w:instrText xml:space="preserve"> PAGEREF _Toc74895918 \h </w:instrText>
            </w:r>
            <w:r w:rsidR="0013082F">
              <w:rPr>
                <w:noProof/>
                <w:webHidden/>
              </w:rPr>
            </w:r>
            <w:r w:rsidR="0013082F">
              <w:rPr>
                <w:noProof/>
                <w:webHidden/>
              </w:rPr>
              <w:fldChar w:fldCharType="separate"/>
            </w:r>
            <w:r w:rsidR="00A40A5B">
              <w:rPr>
                <w:noProof/>
                <w:webHidden/>
              </w:rPr>
              <w:t>53</w:t>
            </w:r>
            <w:r w:rsidR="0013082F">
              <w:rPr>
                <w:noProof/>
                <w:webHidden/>
              </w:rPr>
              <w:fldChar w:fldCharType="end"/>
            </w:r>
          </w:hyperlink>
        </w:p>
        <w:p w14:paraId="2AEBC611" w14:textId="6838307A" w:rsidR="0013082F" w:rsidRDefault="00803A4B">
          <w:pPr>
            <w:pStyle w:val="TOC1"/>
            <w:rPr>
              <w:rFonts w:eastAsiaTheme="minorEastAsia"/>
              <w:b w:val="0"/>
              <w:bCs w:val="0"/>
              <w:w w:val="100"/>
              <w:sz w:val="22"/>
              <w:lang w:eastAsia="en-CA"/>
            </w:rPr>
          </w:pPr>
          <w:hyperlink w:anchor="_Toc74895919" w:history="1">
            <w:r w:rsidR="0013082F" w:rsidRPr="009214E4">
              <w:rPr>
                <w:rStyle w:val="Hyperlink"/>
              </w:rPr>
              <w:t>Appendices</w:t>
            </w:r>
            <w:r w:rsidR="0013082F">
              <w:rPr>
                <w:webHidden/>
              </w:rPr>
              <w:tab/>
            </w:r>
            <w:r w:rsidR="0013082F">
              <w:rPr>
                <w:webHidden/>
              </w:rPr>
              <w:fldChar w:fldCharType="begin"/>
            </w:r>
            <w:r w:rsidR="0013082F">
              <w:rPr>
                <w:webHidden/>
              </w:rPr>
              <w:instrText xml:space="preserve"> PAGEREF _Toc74895919 \h </w:instrText>
            </w:r>
            <w:r w:rsidR="0013082F">
              <w:rPr>
                <w:webHidden/>
              </w:rPr>
            </w:r>
            <w:r w:rsidR="0013082F">
              <w:rPr>
                <w:webHidden/>
              </w:rPr>
              <w:fldChar w:fldCharType="separate"/>
            </w:r>
            <w:r w:rsidR="00A40A5B">
              <w:rPr>
                <w:webHidden/>
              </w:rPr>
              <w:t>55</w:t>
            </w:r>
            <w:r w:rsidR="0013082F">
              <w:rPr>
                <w:webHidden/>
              </w:rPr>
              <w:fldChar w:fldCharType="end"/>
            </w:r>
          </w:hyperlink>
        </w:p>
        <w:p w14:paraId="321A416F" w14:textId="3526F31E" w:rsidR="0013082F" w:rsidRDefault="00803A4B">
          <w:pPr>
            <w:pStyle w:val="TOC2"/>
            <w:tabs>
              <w:tab w:val="right" w:leader="dot" w:pos="9350"/>
            </w:tabs>
            <w:rPr>
              <w:rFonts w:eastAsiaTheme="minorEastAsia"/>
              <w:noProof/>
              <w:sz w:val="22"/>
              <w:lang w:eastAsia="en-CA"/>
            </w:rPr>
          </w:pPr>
          <w:hyperlink w:anchor="_Toc74895920" w:history="1">
            <w:r w:rsidR="0013082F" w:rsidRPr="009214E4">
              <w:rPr>
                <w:rStyle w:val="Hyperlink"/>
                <w:noProof/>
              </w:rPr>
              <w:t>Appendix 1: Niagara Escarpment Commission OIC Appointments</w:t>
            </w:r>
            <w:r w:rsidR="0013082F">
              <w:rPr>
                <w:noProof/>
                <w:webHidden/>
              </w:rPr>
              <w:tab/>
            </w:r>
            <w:r w:rsidR="0013082F">
              <w:rPr>
                <w:noProof/>
                <w:webHidden/>
              </w:rPr>
              <w:fldChar w:fldCharType="begin"/>
            </w:r>
            <w:r w:rsidR="0013082F">
              <w:rPr>
                <w:noProof/>
                <w:webHidden/>
              </w:rPr>
              <w:instrText xml:space="preserve"> PAGEREF _Toc74895920 \h </w:instrText>
            </w:r>
            <w:r w:rsidR="0013082F">
              <w:rPr>
                <w:noProof/>
                <w:webHidden/>
              </w:rPr>
            </w:r>
            <w:r w:rsidR="0013082F">
              <w:rPr>
                <w:noProof/>
                <w:webHidden/>
              </w:rPr>
              <w:fldChar w:fldCharType="separate"/>
            </w:r>
            <w:r w:rsidR="00A40A5B">
              <w:rPr>
                <w:noProof/>
                <w:webHidden/>
              </w:rPr>
              <w:t>56</w:t>
            </w:r>
            <w:r w:rsidR="0013082F">
              <w:rPr>
                <w:noProof/>
                <w:webHidden/>
              </w:rPr>
              <w:fldChar w:fldCharType="end"/>
            </w:r>
          </w:hyperlink>
        </w:p>
        <w:p w14:paraId="344D0F33" w14:textId="4C73B37D" w:rsidR="0013082F" w:rsidRDefault="00803A4B">
          <w:pPr>
            <w:pStyle w:val="TOC2"/>
            <w:tabs>
              <w:tab w:val="right" w:leader="dot" w:pos="9350"/>
            </w:tabs>
            <w:rPr>
              <w:rFonts w:eastAsiaTheme="minorEastAsia"/>
              <w:noProof/>
              <w:sz w:val="22"/>
              <w:lang w:eastAsia="en-CA"/>
            </w:rPr>
          </w:pPr>
          <w:hyperlink w:anchor="_Toc74895921" w:history="1">
            <w:r w:rsidR="0013082F" w:rsidRPr="009214E4">
              <w:rPr>
                <w:rStyle w:val="Hyperlink"/>
                <w:noProof/>
              </w:rPr>
              <w:t>Appendix 2: Niagara Escarpment Plan Map</w:t>
            </w:r>
            <w:r w:rsidR="0013082F">
              <w:rPr>
                <w:noProof/>
                <w:webHidden/>
              </w:rPr>
              <w:tab/>
            </w:r>
            <w:r w:rsidR="0013082F">
              <w:rPr>
                <w:noProof/>
                <w:webHidden/>
              </w:rPr>
              <w:fldChar w:fldCharType="begin"/>
            </w:r>
            <w:r w:rsidR="0013082F">
              <w:rPr>
                <w:noProof/>
                <w:webHidden/>
              </w:rPr>
              <w:instrText xml:space="preserve"> PAGEREF _Toc74895921 \h </w:instrText>
            </w:r>
            <w:r w:rsidR="0013082F">
              <w:rPr>
                <w:noProof/>
                <w:webHidden/>
              </w:rPr>
            </w:r>
            <w:r w:rsidR="0013082F">
              <w:rPr>
                <w:noProof/>
                <w:webHidden/>
              </w:rPr>
              <w:fldChar w:fldCharType="separate"/>
            </w:r>
            <w:r w:rsidR="00A40A5B">
              <w:rPr>
                <w:noProof/>
                <w:webHidden/>
              </w:rPr>
              <w:t>57</w:t>
            </w:r>
            <w:r w:rsidR="0013082F">
              <w:rPr>
                <w:noProof/>
                <w:webHidden/>
              </w:rPr>
              <w:fldChar w:fldCharType="end"/>
            </w:r>
          </w:hyperlink>
        </w:p>
        <w:p w14:paraId="0B4CE322" w14:textId="252A8F3C" w:rsidR="0013082F" w:rsidRDefault="00803A4B">
          <w:pPr>
            <w:pStyle w:val="TOC2"/>
            <w:tabs>
              <w:tab w:val="right" w:leader="dot" w:pos="9350"/>
            </w:tabs>
            <w:rPr>
              <w:rFonts w:eastAsiaTheme="minorEastAsia"/>
              <w:noProof/>
              <w:sz w:val="22"/>
              <w:lang w:eastAsia="en-CA"/>
            </w:rPr>
          </w:pPr>
          <w:hyperlink w:anchor="_Toc74895922" w:history="1">
            <w:r w:rsidR="0013082F" w:rsidRPr="009214E4">
              <w:rPr>
                <w:rStyle w:val="Hyperlink"/>
                <w:noProof/>
              </w:rPr>
              <w:t>Appendix 3: Municipalities in the NEP Area</w:t>
            </w:r>
            <w:r w:rsidR="0013082F">
              <w:rPr>
                <w:noProof/>
                <w:webHidden/>
              </w:rPr>
              <w:tab/>
            </w:r>
            <w:r w:rsidR="0013082F">
              <w:rPr>
                <w:noProof/>
                <w:webHidden/>
              </w:rPr>
              <w:fldChar w:fldCharType="begin"/>
            </w:r>
            <w:r w:rsidR="0013082F">
              <w:rPr>
                <w:noProof/>
                <w:webHidden/>
              </w:rPr>
              <w:instrText xml:space="preserve"> PAGEREF _Toc74895922 \h </w:instrText>
            </w:r>
            <w:r w:rsidR="0013082F">
              <w:rPr>
                <w:noProof/>
                <w:webHidden/>
              </w:rPr>
            </w:r>
            <w:r w:rsidR="0013082F">
              <w:rPr>
                <w:noProof/>
                <w:webHidden/>
              </w:rPr>
              <w:fldChar w:fldCharType="separate"/>
            </w:r>
            <w:r w:rsidR="00A40A5B">
              <w:rPr>
                <w:noProof/>
                <w:webHidden/>
              </w:rPr>
              <w:t>58</w:t>
            </w:r>
            <w:r w:rsidR="0013082F">
              <w:rPr>
                <w:noProof/>
                <w:webHidden/>
              </w:rPr>
              <w:fldChar w:fldCharType="end"/>
            </w:r>
          </w:hyperlink>
        </w:p>
        <w:p w14:paraId="1FB24D65" w14:textId="76BD11C5" w:rsidR="0013082F" w:rsidRDefault="00803A4B">
          <w:pPr>
            <w:pStyle w:val="TOC2"/>
            <w:tabs>
              <w:tab w:val="right" w:leader="dot" w:pos="9350"/>
            </w:tabs>
            <w:rPr>
              <w:rFonts w:eastAsiaTheme="minorEastAsia"/>
              <w:noProof/>
              <w:sz w:val="22"/>
              <w:lang w:eastAsia="en-CA"/>
            </w:rPr>
          </w:pPr>
          <w:hyperlink w:anchor="_Toc74895923" w:history="1">
            <w:r w:rsidR="0013082F" w:rsidRPr="009214E4">
              <w:rPr>
                <w:rStyle w:val="Hyperlink"/>
                <w:noProof/>
              </w:rPr>
              <w:t>Region of Niagara</w:t>
            </w:r>
            <w:r w:rsidR="0013082F">
              <w:rPr>
                <w:noProof/>
                <w:webHidden/>
              </w:rPr>
              <w:tab/>
            </w:r>
            <w:r w:rsidR="0013082F">
              <w:rPr>
                <w:noProof/>
                <w:webHidden/>
              </w:rPr>
              <w:fldChar w:fldCharType="begin"/>
            </w:r>
            <w:r w:rsidR="0013082F">
              <w:rPr>
                <w:noProof/>
                <w:webHidden/>
              </w:rPr>
              <w:instrText xml:space="preserve"> PAGEREF _Toc74895923 \h </w:instrText>
            </w:r>
            <w:r w:rsidR="0013082F">
              <w:rPr>
                <w:noProof/>
                <w:webHidden/>
              </w:rPr>
            </w:r>
            <w:r w:rsidR="0013082F">
              <w:rPr>
                <w:noProof/>
                <w:webHidden/>
              </w:rPr>
              <w:fldChar w:fldCharType="separate"/>
            </w:r>
            <w:r w:rsidR="00A40A5B">
              <w:rPr>
                <w:noProof/>
                <w:webHidden/>
              </w:rPr>
              <w:t>58</w:t>
            </w:r>
            <w:r w:rsidR="0013082F">
              <w:rPr>
                <w:noProof/>
                <w:webHidden/>
              </w:rPr>
              <w:fldChar w:fldCharType="end"/>
            </w:r>
          </w:hyperlink>
        </w:p>
        <w:p w14:paraId="164FDE75" w14:textId="46041C37" w:rsidR="0013082F" w:rsidRDefault="00803A4B">
          <w:pPr>
            <w:pStyle w:val="TOC2"/>
            <w:tabs>
              <w:tab w:val="right" w:leader="dot" w:pos="9350"/>
            </w:tabs>
            <w:rPr>
              <w:rFonts w:eastAsiaTheme="minorEastAsia"/>
              <w:noProof/>
              <w:sz w:val="22"/>
              <w:lang w:eastAsia="en-CA"/>
            </w:rPr>
          </w:pPr>
          <w:hyperlink w:anchor="_Toc74895924" w:history="1">
            <w:r w:rsidR="0013082F" w:rsidRPr="009214E4">
              <w:rPr>
                <w:rStyle w:val="Hyperlink"/>
                <w:noProof/>
              </w:rPr>
              <w:t>City of Hamilton</w:t>
            </w:r>
            <w:r w:rsidR="0013082F">
              <w:rPr>
                <w:noProof/>
                <w:webHidden/>
              </w:rPr>
              <w:tab/>
            </w:r>
            <w:r w:rsidR="0013082F">
              <w:rPr>
                <w:noProof/>
                <w:webHidden/>
              </w:rPr>
              <w:fldChar w:fldCharType="begin"/>
            </w:r>
            <w:r w:rsidR="0013082F">
              <w:rPr>
                <w:noProof/>
                <w:webHidden/>
              </w:rPr>
              <w:instrText xml:space="preserve"> PAGEREF _Toc74895924 \h </w:instrText>
            </w:r>
            <w:r w:rsidR="0013082F">
              <w:rPr>
                <w:noProof/>
                <w:webHidden/>
              </w:rPr>
            </w:r>
            <w:r w:rsidR="0013082F">
              <w:rPr>
                <w:noProof/>
                <w:webHidden/>
              </w:rPr>
              <w:fldChar w:fldCharType="separate"/>
            </w:r>
            <w:r w:rsidR="00A40A5B">
              <w:rPr>
                <w:noProof/>
                <w:webHidden/>
              </w:rPr>
              <w:t>58</w:t>
            </w:r>
            <w:r w:rsidR="0013082F">
              <w:rPr>
                <w:noProof/>
                <w:webHidden/>
              </w:rPr>
              <w:fldChar w:fldCharType="end"/>
            </w:r>
          </w:hyperlink>
        </w:p>
        <w:p w14:paraId="1115DBEA" w14:textId="7659E129" w:rsidR="0013082F" w:rsidRDefault="00803A4B">
          <w:pPr>
            <w:pStyle w:val="TOC2"/>
            <w:tabs>
              <w:tab w:val="right" w:leader="dot" w:pos="9350"/>
            </w:tabs>
            <w:rPr>
              <w:rFonts w:eastAsiaTheme="minorEastAsia"/>
              <w:noProof/>
              <w:sz w:val="22"/>
              <w:lang w:eastAsia="en-CA"/>
            </w:rPr>
          </w:pPr>
          <w:hyperlink w:anchor="_Toc74895925" w:history="1">
            <w:r w:rsidR="0013082F" w:rsidRPr="009214E4">
              <w:rPr>
                <w:rStyle w:val="Hyperlink"/>
                <w:noProof/>
              </w:rPr>
              <w:t>Region of Halton</w:t>
            </w:r>
            <w:r w:rsidR="0013082F">
              <w:rPr>
                <w:noProof/>
                <w:webHidden/>
              </w:rPr>
              <w:tab/>
            </w:r>
            <w:r w:rsidR="0013082F">
              <w:rPr>
                <w:noProof/>
                <w:webHidden/>
              </w:rPr>
              <w:fldChar w:fldCharType="begin"/>
            </w:r>
            <w:r w:rsidR="0013082F">
              <w:rPr>
                <w:noProof/>
                <w:webHidden/>
              </w:rPr>
              <w:instrText xml:space="preserve"> PAGEREF _Toc74895925 \h </w:instrText>
            </w:r>
            <w:r w:rsidR="0013082F">
              <w:rPr>
                <w:noProof/>
                <w:webHidden/>
              </w:rPr>
            </w:r>
            <w:r w:rsidR="0013082F">
              <w:rPr>
                <w:noProof/>
                <w:webHidden/>
              </w:rPr>
              <w:fldChar w:fldCharType="separate"/>
            </w:r>
            <w:r w:rsidR="00A40A5B">
              <w:rPr>
                <w:noProof/>
                <w:webHidden/>
              </w:rPr>
              <w:t>58</w:t>
            </w:r>
            <w:r w:rsidR="0013082F">
              <w:rPr>
                <w:noProof/>
                <w:webHidden/>
              </w:rPr>
              <w:fldChar w:fldCharType="end"/>
            </w:r>
          </w:hyperlink>
        </w:p>
        <w:p w14:paraId="0EA25656" w14:textId="6DAD9C36" w:rsidR="0013082F" w:rsidRDefault="00803A4B">
          <w:pPr>
            <w:pStyle w:val="TOC2"/>
            <w:tabs>
              <w:tab w:val="right" w:leader="dot" w:pos="9350"/>
            </w:tabs>
            <w:rPr>
              <w:rFonts w:eastAsiaTheme="minorEastAsia"/>
              <w:noProof/>
              <w:sz w:val="22"/>
              <w:lang w:eastAsia="en-CA"/>
            </w:rPr>
          </w:pPr>
          <w:hyperlink w:anchor="_Toc74895926" w:history="1">
            <w:r w:rsidR="0013082F" w:rsidRPr="009214E4">
              <w:rPr>
                <w:rStyle w:val="Hyperlink"/>
                <w:noProof/>
              </w:rPr>
              <w:t>Region of Peel</w:t>
            </w:r>
            <w:r w:rsidR="0013082F">
              <w:rPr>
                <w:noProof/>
                <w:webHidden/>
              </w:rPr>
              <w:tab/>
            </w:r>
            <w:r w:rsidR="0013082F">
              <w:rPr>
                <w:noProof/>
                <w:webHidden/>
              </w:rPr>
              <w:fldChar w:fldCharType="begin"/>
            </w:r>
            <w:r w:rsidR="0013082F">
              <w:rPr>
                <w:noProof/>
                <w:webHidden/>
              </w:rPr>
              <w:instrText xml:space="preserve"> PAGEREF _Toc74895926 \h </w:instrText>
            </w:r>
            <w:r w:rsidR="0013082F">
              <w:rPr>
                <w:noProof/>
                <w:webHidden/>
              </w:rPr>
            </w:r>
            <w:r w:rsidR="0013082F">
              <w:rPr>
                <w:noProof/>
                <w:webHidden/>
              </w:rPr>
              <w:fldChar w:fldCharType="separate"/>
            </w:r>
            <w:r w:rsidR="00A40A5B">
              <w:rPr>
                <w:noProof/>
                <w:webHidden/>
              </w:rPr>
              <w:t>58</w:t>
            </w:r>
            <w:r w:rsidR="0013082F">
              <w:rPr>
                <w:noProof/>
                <w:webHidden/>
              </w:rPr>
              <w:fldChar w:fldCharType="end"/>
            </w:r>
          </w:hyperlink>
        </w:p>
        <w:p w14:paraId="04D6C8CF" w14:textId="3DCFC2A9" w:rsidR="0013082F" w:rsidRDefault="00803A4B">
          <w:pPr>
            <w:pStyle w:val="TOC2"/>
            <w:tabs>
              <w:tab w:val="right" w:leader="dot" w:pos="9350"/>
            </w:tabs>
            <w:rPr>
              <w:rFonts w:eastAsiaTheme="minorEastAsia"/>
              <w:noProof/>
              <w:sz w:val="22"/>
              <w:lang w:eastAsia="en-CA"/>
            </w:rPr>
          </w:pPr>
          <w:hyperlink w:anchor="_Toc74895927" w:history="1">
            <w:r w:rsidR="0013082F" w:rsidRPr="009214E4">
              <w:rPr>
                <w:rStyle w:val="Hyperlink"/>
                <w:noProof/>
              </w:rPr>
              <w:t>County of Bruce</w:t>
            </w:r>
            <w:r w:rsidR="0013082F">
              <w:rPr>
                <w:noProof/>
                <w:webHidden/>
              </w:rPr>
              <w:tab/>
            </w:r>
            <w:r w:rsidR="0013082F">
              <w:rPr>
                <w:noProof/>
                <w:webHidden/>
              </w:rPr>
              <w:fldChar w:fldCharType="begin"/>
            </w:r>
            <w:r w:rsidR="0013082F">
              <w:rPr>
                <w:noProof/>
                <w:webHidden/>
              </w:rPr>
              <w:instrText xml:space="preserve"> PAGEREF _Toc74895927 \h </w:instrText>
            </w:r>
            <w:r w:rsidR="0013082F">
              <w:rPr>
                <w:noProof/>
                <w:webHidden/>
              </w:rPr>
            </w:r>
            <w:r w:rsidR="0013082F">
              <w:rPr>
                <w:noProof/>
                <w:webHidden/>
              </w:rPr>
              <w:fldChar w:fldCharType="separate"/>
            </w:r>
            <w:r w:rsidR="00A40A5B">
              <w:rPr>
                <w:noProof/>
                <w:webHidden/>
              </w:rPr>
              <w:t>58</w:t>
            </w:r>
            <w:r w:rsidR="0013082F">
              <w:rPr>
                <w:noProof/>
                <w:webHidden/>
              </w:rPr>
              <w:fldChar w:fldCharType="end"/>
            </w:r>
          </w:hyperlink>
        </w:p>
        <w:p w14:paraId="3EE25D14" w14:textId="4B8E13DF" w:rsidR="0013082F" w:rsidRDefault="00803A4B">
          <w:pPr>
            <w:pStyle w:val="TOC2"/>
            <w:tabs>
              <w:tab w:val="right" w:leader="dot" w:pos="9350"/>
            </w:tabs>
            <w:rPr>
              <w:rFonts w:eastAsiaTheme="minorEastAsia"/>
              <w:noProof/>
              <w:sz w:val="22"/>
              <w:lang w:eastAsia="en-CA"/>
            </w:rPr>
          </w:pPr>
          <w:hyperlink w:anchor="_Toc74895928" w:history="1">
            <w:r w:rsidR="0013082F" w:rsidRPr="009214E4">
              <w:rPr>
                <w:rStyle w:val="Hyperlink"/>
                <w:noProof/>
              </w:rPr>
              <w:t>County of Dufferin</w:t>
            </w:r>
            <w:r w:rsidR="0013082F">
              <w:rPr>
                <w:noProof/>
                <w:webHidden/>
              </w:rPr>
              <w:tab/>
            </w:r>
            <w:r w:rsidR="0013082F">
              <w:rPr>
                <w:noProof/>
                <w:webHidden/>
              </w:rPr>
              <w:fldChar w:fldCharType="begin"/>
            </w:r>
            <w:r w:rsidR="0013082F">
              <w:rPr>
                <w:noProof/>
                <w:webHidden/>
              </w:rPr>
              <w:instrText xml:space="preserve"> PAGEREF _Toc74895928 \h </w:instrText>
            </w:r>
            <w:r w:rsidR="0013082F">
              <w:rPr>
                <w:noProof/>
                <w:webHidden/>
              </w:rPr>
            </w:r>
            <w:r w:rsidR="0013082F">
              <w:rPr>
                <w:noProof/>
                <w:webHidden/>
              </w:rPr>
              <w:fldChar w:fldCharType="separate"/>
            </w:r>
            <w:r w:rsidR="00A40A5B">
              <w:rPr>
                <w:noProof/>
                <w:webHidden/>
              </w:rPr>
              <w:t>58</w:t>
            </w:r>
            <w:r w:rsidR="0013082F">
              <w:rPr>
                <w:noProof/>
                <w:webHidden/>
              </w:rPr>
              <w:fldChar w:fldCharType="end"/>
            </w:r>
          </w:hyperlink>
        </w:p>
        <w:p w14:paraId="0D19A4BB" w14:textId="3F965A1D" w:rsidR="0013082F" w:rsidRDefault="00803A4B">
          <w:pPr>
            <w:pStyle w:val="TOC2"/>
            <w:tabs>
              <w:tab w:val="right" w:leader="dot" w:pos="9350"/>
            </w:tabs>
            <w:rPr>
              <w:rFonts w:eastAsiaTheme="minorEastAsia"/>
              <w:noProof/>
              <w:sz w:val="22"/>
              <w:lang w:eastAsia="en-CA"/>
            </w:rPr>
          </w:pPr>
          <w:hyperlink w:anchor="_Toc74895929" w:history="1">
            <w:r w:rsidR="0013082F" w:rsidRPr="009214E4">
              <w:rPr>
                <w:rStyle w:val="Hyperlink"/>
                <w:noProof/>
              </w:rPr>
              <w:t>County of Grey</w:t>
            </w:r>
            <w:r w:rsidR="0013082F">
              <w:rPr>
                <w:noProof/>
                <w:webHidden/>
              </w:rPr>
              <w:tab/>
            </w:r>
            <w:r w:rsidR="0013082F">
              <w:rPr>
                <w:noProof/>
                <w:webHidden/>
              </w:rPr>
              <w:fldChar w:fldCharType="begin"/>
            </w:r>
            <w:r w:rsidR="0013082F">
              <w:rPr>
                <w:noProof/>
                <w:webHidden/>
              </w:rPr>
              <w:instrText xml:space="preserve"> PAGEREF _Toc74895929 \h </w:instrText>
            </w:r>
            <w:r w:rsidR="0013082F">
              <w:rPr>
                <w:noProof/>
                <w:webHidden/>
              </w:rPr>
            </w:r>
            <w:r w:rsidR="0013082F">
              <w:rPr>
                <w:noProof/>
                <w:webHidden/>
              </w:rPr>
              <w:fldChar w:fldCharType="separate"/>
            </w:r>
            <w:r w:rsidR="00A40A5B">
              <w:rPr>
                <w:noProof/>
                <w:webHidden/>
              </w:rPr>
              <w:t>58</w:t>
            </w:r>
            <w:r w:rsidR="0013082F">
              <w:rPr>
                <w:noProof/>
                <w:webHidden/>
              </w:rPr>
              <w:fldChar w:fldCharType="end"/>
            </w:r>
          </w:hyperlink>
        </w:p>
        <w:p w14:paraId="2BD152F5" w14:textId="10FD2BC8" w:rsidR="0013082F" w:rsidRDefault="00803A4B">
          <w:pPr>
            <w:pStyle w:val="TOC2"/>
            <w:tabs>
              <w:tab w:val="right" w:leader="dot" w:pos="9350"/>
            </w:tabs>
            <w:rPr>
              <w:rFonts w:eastAsiaTheme="minorEastAsia"/>
              <w:noProof/>
              <w:sz w:val="22"/>
              <w:lang w:eastAsia="en-CA"/>
            </w:rPr>
          </w:pPr>
          <w:hyperlink w:anchor="_Toc74895930" w:history="1">
            <w:r w:rsidR="0013082F" w:rsidRPr="009214E4">
              <w:rPr>
                <w:rStyle w:val="Hyperlink"/>
                <w:noProof/>
              </w:rPr>
              <w:t>County of Simcoe</w:t>
            </w:r>
            <w:r w:rsidR="0013082F">
              <w:rPr>
                <w:noProof/>
                <w:webHidden/>
              </w:rPr>
              <w:tab/>
            </w:r>
            <w:r w:rsidR="0013082F">
              <w:rPr>
                <w:noProof/>
                <w:webHidden/>
              </w:rPr>
              <w:fldChar w:fldCharType="begin"/>
            </w:r>
            <w:r w:rsidR="0013082F">
              <w:rPr>
                <w:noProof/>
                <w:webHidden/>
              </w:rPr>
              <w:instrText xml:space="preserve"> PAGEREF _Toc74895930 \h </w:instrText>
            </w:r>
            <w:r w:rsidR="0013082F">
              <w:rPr>
                <w:noProof/>
                <w:webHidden/>
              </w:rPr>
            </w:r>
            <w:r w:rsidR="0013082F">
              <w:rPr>
                <w:noProof/>
                <w:webHidden/>
              </w:rPr>
              <w:fldChar w:fldCharType="separate"/>
            </w:r>
            <w:r w:rsidR="00A40A5B">
              <w:rPr>
                <w:noProof/>
                <w:webHidden/>
              </w:rPr>
              <w:t>59</w:t>
            </w:r>
            <w:r w:rsidR="0013082F">
              <w:rPr>
                <w:noProof/>
                <w:webHidden/>
              </w:rPr>
              <w:fldChar w:fldCharType="end"/>
            </w:r>
          </w:hyperlink>
        </w:p>
        <w:p w14:paraId="591E3D1B" w14:textId="18683D40" w:rsidR="008C3DE0" w:rsidRDefault="008C3DE0">
          <w:r>
            <w:rPr>
              <w:b/>
              <w:bCs/>
              <w:noProof/>
            </w:rPr>
            <w:fldChar w:fldCharType="end"/>
          </w:r>
        </w:p>
      </w:sdtContent>
    </w:sdt>
    <w:p w14:paraId="2D9C48F5" w14:textId="4E25FBAB" w:rsidR="008C3DE0" w:rsidRDefault="008C3DE0">
      <w:r>
        <w:br w:type="page"/>
      </w:r>
    </w:p>
    <w:p w14:paraId="1531E67F" w14:textId="562C19BA" w:rsidR="00FE1EF3" w:rsidRDefault="00FE1EF3" w:rsidP="00F47172">
      <w:pPr>
        <w:pStyle w:val="Heading1"/>
        <w:jc w:val="left"/>
        <w:rPr>
          <w:rFonts w:asciiTheme="majorHAnsi" w:hAnsiTheme="majorHAnsi" w:cstheme="majorHAnsi"/>
        </w:rPr>
      </w:pPr>
      <w:bookmarkStart w:id="4" w:name="_Toc74895880"/>
      <w:bookmarkStart w:id="5" w:name="_Toc44333604"/>
      <w:r>
        <w:rPr>
          <w:rFonts w:asciiTheme="majorHAnsi" w:hAnsiTheme="majorHAnsi" w:cstheme="majorHAnsi"/>
        </w:rPr>
        <w:lastRenderedPageBreak/>
        <w:t>Introduction and Background</w:t>
      </w:r>
      <w:bookmarkEnd w:id="4"/>
    </w:p>
    <w:p w14:paraId="74E3DE5E" w14:textId="1575C686" w:rsidR="00790953" w:rsidRPr="00790953" w:rsidRDefault="00C3226E" w:rsidP="00790953">
      <w:r>
        <w:rPr>
          <w:noProof/>
        </w:rPr>
        <mc:AlternateContent>
          <mc:Choice Requires="wps">
            <w:drawing>
              <wp:anchor distT="0" distB="0" distL="114300" distR="114300" simplePos="0" relativeHeight="251654656" behindDoc="0" locked="0" layoutInCell="1" allowOverlap="1" wp14:anchorId="624DBCF9" wp14:editId="7246DBCB">
                <wp:simplePos x="0" y="0"/>
                <wp:positionH relativeFrom="column">
                  <wp:posOffset>-1</wp:posOffset>
                </wp:positionH>
                <wp:positionV relativeFrom="paragraph">
                  <wp:posOffset>83935</wp:posOffset>
                </wp:positionV>
                <wp:extent cx="6068291" cy="0"/>
                <wp:effectExtent l="0" t="0" r="0" b="0"/>
                <wp:wrapNone/>
                <wp:docPr id="15" name="Straight Connector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682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6B9908" id="Straight Connector 15" o:spid="_x0000_s1026" alt="&quot;&quot;" style="position:absolute;z-index:251654656;visibility:visible;mso-wrap-style:square;mso-wrap-distance-left:9pt;mso-wrap-distance-top:0;mso-wrap-distance-right:9pt;mso-wrap-distance-bottom:0;mso-position-horizontal:absolute;mso-position-horizontal-relative:text;mso-position-vertical:absolute;mso-position-vertical-relative:text" from="0,6.6pt" to="477.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" strokecolor="black [3040]"/>
            </w:pict>
          </mc:Fallback>
        </mc:AlternateContent>
      </w:r>
    </w:p>
    <w:p w14:paraId="73338FE3" w14:textId="0626AFC6" w:rsidR="00B422BB" w:rsidRPr="00F47172" w:rsidRDefault="00B422BB" w:rsidP="00F47172">
      <w:pPr>
        <w:pStyle w:val="Heading1"/>
        <w:jc w:val="left"/>
        <w:rPr>
          <w:rFonts w:asciiTheme="majorHAnsi" w:eastAsiaTheme="majorEastAsia" w:hAnsiTheme="majorHAnsi" w:cstheme="majorHAnsi"/>
          <w:sz w:val="32"/>
          <w:szCs w:val="26"/>
        </w:rPr>
      </w:pPr>
      <w:r w:rsidRPr="00F47172">
        <w:rPr>
          <w:rFonts w:asciiTheme="majorHAnsi" w:hAnsiTheme="majorHAnsi" w:cstheme="majorHAnsi"/>
        </w:rPr>
        <w:br w:type="page"/>
      </w:r>
    </w:p>
    <w:p w14:paraId="13408174" w14:textId="1A380C10" w:rsidR="007614C1" w:rsidRDefault="007614C1" w:rsidP="00CF0A47">
      <w:pPr>
        <w:pStyle w:val="Heading2"/>
      </w:pPr>
      <w:bookmarkStart w:id="6" w:name="_Toc74895881"/>
      <w:r>
        <w:lastRenderedPageBreak/>
        <w:t xml:space="preserve">Chair’s </w:t>
      </w:r>
      <w:r w:rsidRPr="00CF0A47">
        <w:t>Message</w:t>
      </w:r>
      <w:bookmarkEnd w:id="5"/>
      <w:bookmarkEnd w:id="6"/>
    </w:p>
    <w:p w14:paraId="2CB2EFFF" w14:textId="77777777" w:rsidR="007614C1" w:rsidRDefault="007614C1" w:rsidP="007614C1">
      <w:pPr>
        <w:pStyle w:val="NoSpacing"/>
        <w:rPr>
          <w:spacing w:val="2"/>
          <w:w w:val="115"/>
        </w:rPr>
      </w:pPr>
    </w:p>
    <w:p w14:paraId="67ADCD98" w14:textId="1F381A32" w:rsidR="007614C1" w:rsidRPr="006939E1" w:rsidRDefault="007614C1" w:rsidP="006939E1">
      <w:pPr>
        <w:jc w:val="both"/>
        <w:rPr>
          <w:rFonts w:cstheme="minorHAnsi"/>
        </w:rPr>
      </w:pPr>
      <w:r w:rsidRPr="006939E1">
        <w:rPr>
          <w:rFonts w:cstheme="minorHAnsi"/>
        </w:rPr>
        <w:t>The focus of the Niagara Escarpment Commission’s (NEC) 2020-21 fiscal year was adapting to conditions associated with the COVID-19 pandemic and</w:t>
      </w:r>
      <w:r w:rsidR="00ED41CA" w:rsidRPr="006939E1">
        <w:rPr>
          <w:rFonts w:cstheme="minorHAnsi"/>
        </w:rPr>
        <w:t xml:space="preserve"> the</w:t>
      </w:r>
      <w:r w:rsidRPr="006939E1">
        <w:rPr>
          <w:rFonts w:cstheme="minorHAnsi"/>
        </w:rPr>
        <w:t xml:space="preserve"> related stay at home orders.  </w:t>
      </w:r>
      <w:r w:rsidR="007435A0" w:rsidRPr="006939E1">
        <w:rPr>
          <w:rFonts w:cstheme="minorHAnsi"/>
        </w:rPr>
        <w:t>Despite the challenges</w:t>
      </w:r>
      <w:r w:rsidR="007D7186" w:rsidRPr="006939E1">
        <w:rPr>
          <w:rFonts w:cstheme="minorHAnsi"/>
        </w:rPr>
        <w:t xml:space="preserve"> faced</w:t>
      </w:r>
      <w:r w:rsidR="0023716C" w:rsidRPr="006939E1">
        <w:rPr>
          <w:rFonts w:cstheme="minorHAnsi"/>
        </w:rPr>
        <w:t xml:space="preserve"> by the pandemic, </w:t>
      </w:r>
      <w:r w:rsidR="0009576B" w:rsidRPr="006939E1">
        <w:rPr>
          <w:rFonts w:cstheme="minorHAnsi"/>
        </w:rPr>
        <w:t>the NEC</w:t>
      </w:r>
      <w:r w:rsidR="00525E55" w:rsidRPr="006939E1">
        <w:rPr>
          <w:rFonts w:cstheme="minorHAnsi"/>
        </w:rPr>
        <w:t xml:space="preserve"> </w:t>
      </w:r>
      <w:r w:rsidR="0034573D" w:rsidRPr="006939E1">
        <w:rPr>
          <w:rFonts w:cstheme="minorHAnsi"/>
        </w:rPr>
        <w:t xml:space="preserve">demonstrated perseverance and still </w:t>
      </w:r>
      <w:r w:rsidR="00E0143B" w:rsidRPr="006939E1">
        <w:rPr>
          <w:rFonts w:cstheme="minorHAnsi"/>
        </w:rPr>
        <w:t>maintained</w:t>
      </w:r>
      <w:r w:rsidR="0034573D" w:rsidRPr="006939E1">
        <w:rPr>
          <w:rFonts w:cstheme="minorHAnsi"/>
        </w:rPr>
        <w:t xml:space="preserve"> growth</w:t>
      </w:r>
      <w:r w:rsidR="00060DC6" w:rsidRPr="006939E1">
        <w:rPr>
          <w:rFonts w:cstheme="minorHAnsi"/>
        </w:rPr>
        <w:t xml:space="preserve"> throughout many areas of our organization. </w:t>
      </w:r>
    </w:p>
    <w:p w14:paraId="11B536C2" w14:textId="614E05DC" w:rsidR="007614C1" w:rsidRPr="006939E1" w:rsidRDefault="007435A0" w:rsidP="006939E1">
      <w:pPr>
        <w:jc w:val="both"/>
        <w:rPr>
          <w:rFonts w:cstheme="minorHAnsi"/>
        </w:rPr>
      </w:pPr>
      <w:r w:rsidRPr="006939E1">
        <w:rPr>
          <w:rFonts w:cstheme="minorHAnsi"/>
        </w:rPr>
        <w:t>T</w:t>
      </w:r>
      <w:r w:rsidR="007614C1" w:rsidRPr="006939E1">
        <w:rPr>
          <w:rFonts w:cstheme="minorHAnsi"/>
        </w:rPr>
        <w:t>he NEC achieved a high level of organizational resilience and effectiveness in adapting to circumstances over the past year.  The ability to continue to deliver a high-quality</w:t>
      </w:r>
      <w:r w:rsidR="00A451BD" w:rsidRPr="006939E1">
        <w:rPr>
          <w:rFonts w:cstheme="minorHAnsi"/>
        </w:rPr>
        <w:t>, robust</w:t>
      </w:r>
      <w:r w:rsidR="007614C1" w:rsidRPr="006939E1">
        <w:rPr>
          <w:rFonts w:cstheme="minorHAnsi"/>
        </w:rPr>
        <w:t xml:space="preserve"> program is attributed to the dedication and professionalism of staff and the structure provided by </w:t>
      </w:r>
      <w:r w:rsidR="0038230D" w:rsidRPr="006939E1">
        <w:rPr>
          <w:rFonts w:cstheme="minorHAnsi"/>
        </w:rPr>
        <w:t xml:space="preserve">our </w:t>
      </w:r>
      <w:r w:rsidR="007614C1" w:rsidRPr="006939E1">
        <w:rPr>
          <w:rFonts w:cstheme="minorHAnsi"/>
        </w:rPr>
        <w:t>Operational Strategy.  In this past year</w:t>
      </w:r>
      <w:r w:rsidR="00A72801" w:rsidRPr="006939E1">
        <w:rPr>
          <w:rFonts w:cstheme="minorHAnsi"/>
        </w:rPr>
        <w:t>,</w:t>
      </w:r>
      <w:r w:rsidR="007614C1" w:rsidRPr="006939E1">
        <w:rPr>
          <w:rFonts w:cstheme="minorHAnsi"/>
        </w:rPr>
        <w:t xml:space="preserve"> staff continued to work remotely while dealing with record high numbers of development </w:t>
      </w:r>
      <w:r w:rsidR="00156F08" w:rsidRPr="006939E1">
        <w:rPr>
          <w:rFonts w:cstheme="minorHAnsi"/>
        </w:rPr>
        <w:t xml:space="preserve">permit </w:t>
      </w:r>
      <w:r w:rsidR="007614C1" w:rsidRPr="006939E1">
        <w:rPr>
          <w:rFonts w:cstheme="minorHAnsi"/>
        </w:rPr>
        <w:t>applications and inquiries.  They are to be commended.</w:t>
      </w:r>
    </w:p>
    <w:p w14:paraId="70027196" w14:textId="006BBB29" w:rsidR="007614C1" w:rsidRPr="006939E1" w:rsidRDefault="007614C1" w:rsidP="006939E1">
      <w:pPr>
        <w:jc w:val="both"/>
        <w:rPr>
          <w:rFonts w:cstheme="minorHAnsi"/>
        </w:rPr>
      </w:pPr>
      <w:r w:rsidRPr="006939E1">
        <w:rPr>
          <w:rFonts w:cstheme="minorHAnsi"/>
        </w:rPr>
        <w:t>In 2020-21</w:t>
      </w:r>
      <w:r w:rsidR="00156F08" w:rsidRPr="006939E1">
        <w:rPr>
          <w:rFonts w:cstheme="minorHAnsi"/>
        </w:rPr>
        <w:t>,</w:t>
      </w:r>
      <w:r w:rsidRPr="006939E1">
        <w:rPr>
          <w:rFonts w:cstheme="minorHAnsi"/>
        </w:rPr>
        <w:t xml:space="preserve"> the Commission attained a full complement of 17 appointments.  Commissioners were provided with orientation sessions </w:t>
      </w:r>
      <w:r w:rsidR="00C96C87" w:rsidRPr="006939E1">
        <w:rPr>
          <w:rFonts w:cstheme="minorHAnsi"/>
        </w:rPr>
        <w:t>that included</w:t>
      </w:r>
      <w:r w:rsidR="00A51627" w:rsidRPr="006939E1">
        <w:rPr>
          <w:rFonts w:cstheme="minorHAnsi"/>
        </w:rPr>
        <w:t xml:space="preserve"> reviewing </w:t>
      </w:r>
      <w:r w:rsidRPr="006939E1">
        <w:rPr>
          <w:rFonts w:cstheme="minorHAnsi"/>
        </w:rPr>
        <w:t xml:space="preserve">  responsibilities </w:t>
      </w:r>
      <w:r w:rsidR="00DB399C" w:rsidRPr="006939E1">
        <w:rPr>
          <w:rFonts w:cstheme="minorHAnsi"/>
        </w:rPr>
        <w:t xml:space="preserve">outlined </w:t>
      </w:r>
      <w:r w:rsidRPr="006939E1">
        <w:rPr>
          <w:rFonts w:cstheme="minorHAnsi"/>
        </w:rPr>
        <w:t>under the Agencies Appointments Directive and implementation of the Niagara Escarpment program.  Further, all Commissioners were provided introductory training on Indigenous culture, engagement and the responsibilities related to the duty to consult.  The Commission also met to advance preparation of Policy Guidance Material and Technical Criteria to support implementation of the Niagara Escarpment Plan.</w:t>
      </w:r>
    </w:p>
    <w:p w14:paraId="28CC81C7" w14:textId="50596B7C" w:rsidR="007614C1" w:rsidRPr="006939E1" w:rsidRDefault="007614C1" w:rsidP="006939E1">
      <w:pPr>
        <w:jc w:val="both"/>
        <w:rPr>
          <w:rFonts w:cstheme="minorHAnsi"/>
        </w:rPr>
      </w:pPr>
      <w:r w:rsidRPr="006939E1">
        <w:rPr>
          <w:rFonts w:cstheme="minorHAnsi"/>
        </w:rPr>
        <w:t xml:space="preserve">In addition, the NEC continued to work with </w:t>
      </w:r>
      <w:r w:rsidR="00673302" w:rsidRPr="006939E1">
        <w:rPr>
          <w:rFonts w:cstheme="minorHAnsi"/>
        </w:rPr>
        <w:t>NDMNRF</w:t>
      </w:r>
      <w:r w:rsidRPr="006939E1">
        <w:rPr>
          <w:rFonts w:cstheme="minorHAnsi"/>
        </w:rPr>
        <w:t xml:space="preserve"> on modernization and efficiency measures aimed at further cost savings and streamlining of processes.  The NEC’s need for a new database and IT solution is becoming a critical issue </w:t>
      </w:r>
      <w:r w:rsidR="0014466C" w:rsidRPr="006939E1">
        <w:rPr>
          <w:rFonts w:cstheme="minorHAnsi"/>
        </w:rPr>
        <w:t xml:space="preserve">as we look </w:t>
      </w:r>
      <w:r w:rsidR="006939E1" w:rsidRPr="006939E1">
        <w:rPr>
          <w:rFonts w:cstheme="minorHAnsi"/>
        </w:rPr>
        <w:t>to align</w:t>
      </w:r>
      <w:r w:rsidRPr="006939E1">
        <w:rPr>
          <w:rFonts w:cstheme="minorHAnsi"/>
        </w:rPr>
        <w:t xml:space="preserve"> with e-government initiatives</w:t>
      </w:r>
      <w:r w:rsidR="004547E4" w:rsidRPr="006939E1">
        <w:rPr>
          <w:rFonts w:cstheme="minorHAnsi"/>
        </w:rPr>
        <w:t>,</w:t>
      </w:r>
      <w:r w:rsidRPr="006939E1">
        <w:rPr>
          <w:rFonts w:cstheme="minorHAnsi"/>
        </w:rPr>
        <w:t xml:space="preserve"> achieve effective streamlining and mitigate operational risks associated with the current, outdated system.</w:t>
      </w:r>
    </w:p>
    <w:p w14:paraId="489B738D" w14:textId="117D4220" w:rsidR="007614C1" w:rsidRPr="006939E1" w:rsidRDefault="007614C1" w:rsidP="006939E1">
      <w:pPr>
        <w:jc w:val="both"/>
        <w:rPr>
          <w:rFonts w:cstheme="minorHAnsi"/>
        </w:rPr>
      </w:pPr>
      <w:r w:rsidRPr="006939E1">
        <w:rPr>
          <w:rFonts w:cstheme="minorHAnsi"/>
        </w:rPr>
        <w:t xml:space="preserve">I am pleased to report that the NEC’s work with </w:t>
      </w:r>
      <w:r w:rsidR="00673302" w:rsidRPr="006939E1">
        <w:rPr>
          <w:rFonts w:cstheme="minorHAnsi"/>
        </w:rPr>
        <w:t>NDMNRF</w:t>
      </w:r>
      <w:r w:rsidRPr="006939E1">
        <w:rPr>
          <w:rFonts w:cstheme="minorHAnsi"/>
        </w:rPr>
        <w:t xml:space="preserve"> and the Ontario Surveyor General to digitize the area of Development Control is moving forward.  The new regulation will be coming into effect July 1, 2021.  This drastically improves the accuracy of maps</w:t>
      </w:r>
      <w:r w:rsidR="00601929" w:rsidRPr="006939E1">
        <w:rPr>
          <w:rFonts w:cstheme="minorHAnsi"/>
        </w:rPr>
        <w:t xml:space="preserve"> in the area of Development Control</w:t>
      </w:r>
      <w:r w:rsidRPr="006939E1">
        <w:rPr>
          <w:rFonts w:cstheme="minorHAnsi"/>
        </w:rPr>
        <w:t>, providing a more efficient process for NEC customers.  This new digital regulation paves the way for the subsequent phase of the Development Control boundary project which starts a process to examine and potentially modify the Development Control boundary in urban areas where municipal zoning is in place and where specific criteria are met.  In 2020-21</w:t>
      </w:r>
      <w:r w:rsidR="001A09A4" w:rsidRPr="006939E1">
        <w:rPr>
          <w:rFonts w:cstheme="minorHAnsi"/>
        </w:rPr>
        <w:t>,</w:t>
      </w:r>
      <w:r w:rsidRPr="006939E1">
        <w:rPr>
          <w:rFonts w:cstheme="minorHAnsi"/>
        </w:rPr>
        <w:t xml:space="preserve"> the Commission also restated its support for the City Hamilton’s interests in having the Pleasant View area included in the Development Control area.</w:t>
      </w:r>
    </w:p>
    <w:p w14:paraId="1D7C1AE1" w14:textId="77777777" w:rsidR="00407FE1" w:rsidRDefault="00407FE1">
      <w:pPr>
        <w:rPr>
          <w:rFonts w:cstheme="minorHAnsi"/>
        </w:rPr>
      </w:pPr>
      <w:r>
        <w:rPr>
          <w:rFonts w:cstheme="minorHAnsi"/>
        </w:rPr>
        <w:br w:type="page"/>
      </w:r>
    </w:p>
    <w:p w14:paraId="0EACD446" w14:textId="57240FB9" w:rsidR="007614C1" w:rsidRPr="006939E1" w:rsidRDefault="007614C1" w:rsidP="006939E1">
      <w:pPr>
        <w:jc w:val="both"/>
        <w:rPr>
          <w:rFonts w:cstheme="minorHAnsi"/>
        </w:rPr>
      </w:pPr>
      <w:r w:rsidRPr="006939E1">
        <w:rPr>
          <w:rFonts w:cstheme="minorHAnsi"/>
        </w:rPr>
        <w:lastRenderedPageBreak/>
        <w:t>The NEC’s 2020-2021 Annual Report highlights concrete measures</w:t>
      </w:r>
      <w:r w:rsidR="00356F60" w:rsidRPr="006939E1">
        <w:rPr>
          <w:rFonts w:cstheme="minorHAnsi"/>
        </w:rPr>
        <w:t xml:space="preserve"> that</w:t>
      </w:r>
      <w:r w:rsidRPr="006939E1">
        <w:rPr>
          <w:rFonts w:cstheme="minorHAnsi"/>
        </w:rPr>
        <w:t xml:space="preserve"> the agency achieved to </w:t>
      </w:r>
      <w:r w:rsidR="00E316E5" w:rsidRPr="006939E1">
        <w:rPr>
          <w:rFonts w:cstheme="minorHAnsi"/>
        </w:rPr>
        <w:t xml:space="preserve">ensure the </w:t>
      </w:r>
      <w:r w:rsidRPr="006939E1">
        <w:rPr>
          <w:rFonts w:cstheme="minorHAnsi"/>
        </w:rPr>
        <w:t>continue</w:t>
      </w:r>
      <w:r w:rsidR="00E316E5" w:rsidRPr="006939E1">
        <w:rPr>
          <w:rFonts w:cstheme="minorHAnsi"/>
        </w:rPr>
        <w:t>d</w:t>
      </w:r>
      <w:r w:rsidRPr="006939E1">
        <w:rPr>
          <w:rFonts w:cstheme="minorHAnsi"/>
        </w:rPr>
        <w:t xml:space="preserve"> deliver</w:t>
      </w:r>
      <w:r w:rsidR="00E316E5" w:rsidRPr="006939E1">
        <w:rPr>
          <w:rFonts w:cstheme="minorHAnsi"/>
        </w:rPr>
        <w:t xml:space="preserve">y of </w:t>
      </w:r>
      <w:r w:rsidRPr="006939E1">
        <w:rPr>
          <w:rFonts w:cstheme="minorHAnsi"/>
        </w:rPr>
        <w:t xml:space="preserve">its program during a world-wide pandemic.  </w:t>
      </w:r>
    </w:p>
    <w:p w14:paraId="247E8DF9" w14:textId="77777777" w:rsidR="00407FE1" w:rsidRDefault="00407FE1" w:rsidP="006939E1">
      <w:pPr>
        <w:jc w:val="both"/>
        <w:rPr>
          <w:rFonts w:cstheme="minorHAnsi"/>
          <w:b/>
          <w:noProof/>
        </w:rPr>
      </w:pPr>
    </w:p>
    <w:p w14:paraId="338DD41D" w14:textId="3AE5FA6A" w:rsidR="00407FE1" w:rsidRDefault="009907BC" w:rsidP="006939E1">
      <w:pPr>
        <w:jc w:val="both"/>
        <w:rPr>
          <w:rFonts w:cstheme="minorHAnsi"/>
        </w:rPr>
      </w:pPr>
      <w:r w:rsidRPr="009907BC">
        <w:rPr>
          <w:rFonts w:ascii="Arial" w:eastAsia="Arial" w:hAnsi="Arial" w:cs="Arial"/>
          <w:b/>
          <w:bCs/>
          <w:noProof/>
          <w:szCs w:val="24"/>
        </w:rPr>
        <w:t>Original signed by</w:t>
      </w:r>
      <w:r>
        <w:rPr>
          <w:rFonts w:ascii="Arial" w:eastAsia="Arial" w:hAnsi="Arial" w:cs="Arial"/>
          <w:noProof/>
          <w:szCs w:val="24"/>
        </w:rPr>
        <w:t>:</w:t>
      </w:r>
    </w:p>
    <w:p w14:paraId="5A130DA2" w14:textId="58733A9C" w:rsidR="00407FE1" w:rsidRDefault="00407FE1" w:rsidP="006939E1">
      <w:pPr>
        <w:jc w:val="both"/>
        <w:rPr>
          <w:rFonts w:cstheme="minorHAnsi"/>
        </w:rPr>
      </w:pPr>
    </w:p>
    <w:p w14:paraId="579C4EE8" w14:textId="7193933A" w:rsidR="004E05BF" w:rsidRDefault="004E05BF" w:rsidP="006939E1">
      <w:pPr>
        <w:jc w:val="both"/>
        <w:rPr>
          <w:rFonts w:cstheme="minorHAnsi"/>
        </w:rPr>
      </w:pPr>
      <w:r>
        <w:rPr>
          <w:rFonts w:cstheme="minorHAnsi"/>
          <w:noProof/>
        </w:rPr>
        <w:drawing>
          <wp:inline distT="0" distB="0" distL="0" distR="0" wp14:anchorId="458418A6" wp14:editId="28899C4A">
            <wp:extent cx="2386584" cy="612648"/>
            <wp:effectExtent l="0" t="0" r="0" b="0"/>
            <wp:docPr id="2" name="Picture 2" descr="Signature of Rob Nichol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ignature of Rob Nicholson"/>
                    <pic:cNvPicPr/>
                  </pic:nvPicPr>
                  <pic:blipFill>
                    <a:blip r:embed="rId15">
                      <a:extLst>
                        <a:ext uri="{28A0092B-C50C-407E-A947-70E740481C1C}">
                          <a14:useLocalDpi xmlns:a14="http://schemas.microsoft.com/office/drawing/2010/main" val="0"/>
                        </a:ext>
                      </a:extLst>
                    </a:blip>
                    <a:stretch>
                      <a:fillRect/>
                    </a:stretch>
                  </pic:blipFill>
                  <pic:spPr>
                    <a:xfrm>
                      <a:off x="0" y="0"/>
                      <a:ext cx="2386584" cy="612648"/>
                    </a:xfrm>
                    <a:prstGeom prst="rect">
                      <a:avLst/>
                    </a:prstGeom>
                  </pic:spPr>
                </pic:pic>
              </a:graphicData>
            </a:graphic>
          </wp:inline>
        </w:drawing>
      </w:r>
    </w:p>
    <w:p w14:paraId="2D853EDE" w14:textId="630F3938" w:rsidR="007A57DC" w:rsidRPr="006939E1" w:rsidRDefault="007614C1" w:rsidP="006939E1">
      <w:pPr>
        <w:jc w:val="both"/>
        <w:rPr>
          <w:rFonts w:cstheme="minorHAnsi"/>
        </w:rPr>
      </w:pPr>
      <w:r w:rsidRPr="006939E1">
        <w:rPr>
          <w:rFonts w:cstheme="minorHAnsi"/>
        </w:rPr>
        <w:t>Rob Nicholson, Chair</w:t>
      </w:r>
    </w:p>
    <w:p w14:paraId="7E9B96D7" w14:textId="77777777" w:rsidR="007A57DC" w:rsidRDefault="007A57DC">
      <w:r>
        <w:br w:type="page"/>
      </w:r>
    </w:p>
    <w:p w14:paraId="58465451" w14:textId="77777777" w:rsidR="00DC20C0" w:rsidRDefault="00DC20C0" w:rsidP="00DC20C0">
      <w:pPr>
        <w:pStyle w:val="Heading2"/>
      </w:pPr>
      <w:bookmarkStart w:id="7" w:name="_Toc44333605"/>
      <w:bookmarkStart w:id="8" w:name="_Toc74895882"/>
      <w:r>
        <w:lastRenderedPageBreak/>
        <w:t>The Niagara Escarpment</w:t>
      </w:r>
      <w:bookmarkEnd w:id="7"/>
      <w:bookmarkEnd w:id="8"/>
    </w:p>
    <w:p w14:paraId="54F034D7" w14:textId="77777777" w:rsidR="006939E1" w:rsidRDefault="006939E1" w:rsidP="00DC20C0">
      <w:pPr>
        <w:pStyle w:val="NoSpacing"/>
        <w:jc w:val="both"/>
      </w:pPr>
    </w:p>
    <w:p w14:paraId="1D1D8F5B" w14:textId="0995DA9B" w:rsidR="00DC20C0" w:rsidRPr="006939E1" w:rsidRDefault="00DC20C0" w:rsidP="006939E1">
      <w:pPr>
        <w:pStyle w:val="NoSpacing"/>
        <w:spacing w:line="276" w:lineRule="auto"/>
        <w:jc w:val="both"/>
        <w:rPr>
          <w:rFonts w:cstheme="minorHAnsi"/>
        </w:rPr>
      </w:pPr>
      <w:r w:rsidRPr="006939E1">
        <w:rPr>
          <w:rFonts w:cstheme="minorHAnsi"/>
        </w:rPr>
        <w:t>Spanning 725 kilometers from the tip of Niagara Region to the top of the Bruce Peninsula, the Niagara Escarpment is one the world’s most magnificent natural landforms. More than 450 million years old, the Escarpment makes up almost one-quarter of Ontario’s Greenbelt and is home to Canada’s longest footpath, the Bruce Trail. As one of the last remaining bands of continuous forest cover and natural heritage linkages in southern Ontario, it provides vital habitat for numerous species at risk and is the source of many of the Greater Golden Horseshoe’s major river systems.</w:t>
      </w:r>
    </w:p>
    <w:p w14:paraId="12114711" w14:textId="77777777" w:rsidR="00DC20C0" w:rsidRPr="006939E1" w:rsidRDefault="00DC20C0" w:rsidP="006939E1">
      <w:pPr>
        <w:pStyle w:val="NoSpacing"/>
        <w:spacing w:line="276" w:lineRule="auto"/>
        <w:jc w:val="both"/>
        <w:rPr>
          <w:rFonts w:cstheme="minorHAnsi"/>
        </w:rPr>
      </w:pPr>
    </w:p>
    <w:p w14:paraId="3BE002B6" w14:textId="77777777" w:rsidR="00DC20C0" w:rsidRPr="006939E1" w:rsidRDefault="00DC20C0" w:rsidP="006939E1">
      <w:pPr>
        <w:pStyle w:val="NoSpacing"/>
        <w:spacing w:line="276" w:lineRule="auto"/>
        <w:jc w:val="both"/>
        <w:rPr>
          <w:rFonts w:cstheme="minorHAnsi"/>
        </w:rPr>
      </w:pPr>
      <w:r w:rsidRPr="006939E1">
        <w:rPr>
          <w:rFonts w:cstheme="minorHAnsi"/>
        </w:rPr>
        <w:t xml:space="preserve">In 1973, the Ontario government passed the </w:t>
      </w:r>
      <w:r w:rsidRPr="006939E1">
        <w:rPr>
          <w:rFonts w:cstheme="minorHAnsi"/>
          <w:i/>
        </w:rPr>
        <w:t>Niagara Escarpment Planning and Development Act</w:t>
      </w:r>
      <w:r w:rsidRPr="006939E1">
        <w:rPr>
          <w:rFonts w:cstheme="minorHAnsi"/>
        </w:rPr>
        <w:t xml:space="preserve"> (NEPDA) to protect the Escarpment. Through the NEPDA, a land-use planning process was put in place and the NEC was established.</w:t>
      </w:r>
    </w:p>
    <w:p w14:paraId="1BD4C80D" w14:textId="77777777" w:rsidR="00DC20C0" w:rsidRPr="006939E1" w:rsidRDefault="00DC20C0" w:rsidP="006939E1">
      <w:pPr>
        <w:pStyle w:val="NoSpacing"/>
        <w:spacing w:line="276" w:lineRule="auto"/>
        <w:jc w:val="both"/>
        <w:rPr>
          <w:rFonts w:cstheme="minorHAnsi"/>
        </w:rPr>
      </w:pPr>
    </w:p>
    <w:p w14:paraId="4D0B5C96" w14:textId="77777777" w:rsidR="00DC20C0" w:rsidRPr="006939E1" w:rsidRDefault="00DC20C0" w:rsidP="006939E1">
      <w:pPr>
        <w:pStyle w:val="NoSpacing"/>
        <w:spacing w:line="276" w:lineRule="auto"/>
        <w:jc w:val="both"/>
        <w:rPr>
          <w:rFonts w:cstheme="minorHAnsi"/>
        </w:rPr>
      </w:pPr>
      <w:r w:rsidRPr="006939E1">
        <w:rPr>
          <w:rFonts w:cstheme="minorHAnsi"/>
        </w:rPr>
        <w:t>In 1985, the Province created the Niagara Escarpment Plan (NEP), Canada’s first large-scale environmental land-use plan. The NEP area covers 195,000 hectares in portions of 23 local municipalities within seven regions and counties and the City of Hamilton. The plan establishes land-use designations, development criteria and related permitted uses. It also provides the framework for a string of more than 160 parks and open spaces linked by the Bruce Trail.</w:t>
      </w:r>
    </w:p>
    <w:p w14:paraId="47EBB35E" w14:textId="77777777" w:rsidR="00DC20C0" w:rsidRPr="006939E1" w:rsidRDefault="00DC20C0" w:rsidP="006939E1">
      <w:pPr>
        <w:pStyle w:val="NoSpacing"/>
        <w:spacing w:line="276" w:lineRule="auto"/>
        <w:jc w:val="both"/>
        <w:rPr>
          <w:rFonts w:cstheme="minorHAnsi"/>
        </w:rPr>
      </w:pPr>
    </w:p>
    <w:p w14:paraId="384D04ED" w14:textId="77777777" w:rsidR="00DC20C0" w:rsidRPr="006939E1" w:rsidRDefault="00DC20C0" w:rsidP="006939E1">
      <w:pPr>
        <w:pStyle w:val="NoSpacing"/>
        <w:spacing w:line="276" w:lineRule="auto"/>
        <w:jc w:val="both"/>
        <w:rPr>
          <w:rFonts w:cstheme="minorHAnsi"/>
        </w:rPr>
      </w:pPr>
      <w:r w:rsidRPr="006939E1">
        <w:rPr>
          <w:rFonts w:cstheme="minorHAnsi"/>
        </w:rPr>
        <w:t>While the NEP contains a strong emphasis on environmental protection, its role in preserving the open landscape character of the Escarpment and supporting agriculture is also good for business in Ontario. Rural and agricultural communities on the Escarpment support thousands of jobs and produce food consumed by people locally and all over the world, contributing millions of dollars annually to the region’s economy. As well, the Escarpment contributes an estimated $100 million annually to local and regional economies through tourism.</w:t>
      </w:r>
    </w:p>
    <w:p w14:paraId="7DC2C186" w14:textId="77777777" w:rsidR="00DC20C0" w:rsidRPr="006939E1" w:rsidRDefault="00DC20C0" w:rsidP="006939E1">
      <w:pPr>
        <w:pStyle w:val="NoSpacing"/>
        <w:spacing w:line="276" w:lineRule="auto"/>
        <w:jc w:val="both"/>
        <w:rPr>
          <w:rFonts w:cstheme="minorHAnsi"/>
        </w:rPr>
      </w:pPr>
    </w:p>
    <w:p w14:paraId="3387322F" w14:textId="77777777" w:rsidR="00DC20C0" w:rsidRPr="006939E1" w:rsidRDefault="00DC20C0" w:rsidP="006939E1">
      <w:pPr>
        <w:pStyle w:val="NoSpacing"/>
        <w:spacing w:line="276" w:lineRule="auto"/>
        <w:jc w:val="both"/>
        <w:rPr>
          <w:rFonts w:cstheme="minorHAnsi"/>
        </w:rPr>
      </w:pPr>
      <w:r w:rsidRPr="006939E1">
        <w:rPr>
          <w:rFonts w:cstheme="minorHAnsi"/>
        </w:rPr>
        <w:t>In 1990, this visionary model of environmental protection established through the NEC and the NEP earned the Escarpment recognition as a United Nations Educational, Scientific and Cultural Organization (UNESCO) World Biosphere Reserve—one of 18 across Canada. This prestigious designation recognizes the Escarpment as an internationally significant landform that balances cultural and biological diversity with economic and social development.</w:t>
      </w:r>
    </w:p>
    <w:p w14:paraId="649CFC54" w14:textId="77777777" w:rsidR="00DC20C0" w:rsidRPr="006939E1" w:rsidRDefault="00DC20C0" w:rsidP="006939E1">
      <w:pPr>
        <w:pStyle w:val="NoSpacing"/>
        <w:spacing w:line="276" w:lineRule="auto"/>
        <w:jc w:val="both"/>
        <w:rPr>
          <w:rFonts w:cstheme="minorHAnsi"/>
        </w:rPr>
      </w:pPr>
    </w:p>
    <w:p w14:paraId="758918C0" w14:textId="77777777" w:rsidR="00DC20C0" w:rsidRPr="006939E1" w:rsidRDefault="00DC20C0" w:rsidP="006939E1">
      <w:pPr>
        <w:pStyle w:val="NoSpacing"/>
        <w:spacing w:line="276" w:lineRule="auto"/>
        <w:jc w:val="both"/>
        <w:rPr>
          <w:rFonts w:cstheme="minorHAnsi"/>
          <w:szCs w:val="24"/>
        </w:rPr>
      </w:pPr>
      <w:r w:rsidRPr="006939E1">
        <w:rPr>
          <w:rFonts w:cstheme="minorHAnsi"/>
        </w:rPr>
        <w:t>With the Escarpment traversing the Greater Golden Horseshoe, today one of the most heavily developed and fastest growing regions in North America—with a population of more than 9.245 million—the preservation of this precious and world-renowned landscape has never been more challenging and important.</w:t>
      </w:r>
    </w:p>
    <w:p w14:paraId="27876FB8" w14:textId="77777777" w:rsidR="00DC20C0" w:rsidRPr="00107D76" w:rsidRDefault="00DC20C0" w:rsidP="00DC20C0">
      <w:pPr>
        <w:pStyle w:val="NoSpacing"/>
        <w:jc w:val="both"/>
        <w:rPr>
          <w:szCs w:val="24"/>
        </w:rPr>
      </w:pPr>
    </w:p>
    <w:p w14:paraId="31F834BB" w14:textId="77777777" w:rsidR="00DC20C0" w:rsidRDefault="00DC20C0" w:rsidP="00DC20C0">
      <w:pPr>
        <w:pStyle w:val="Heading2"/>
      </w:pPr>
      <w:bookmarkStart w:id="9" w:name="_Toc44333606"/>
      <w:bookmarkStart w:id="10" w:name="_Toc74895883"/>
      <w:r>
        <w:lastRenderedPageBreak/>
        <w:t>The Niagara Escarpment Commission</w:t>
      </w:r>
      <w:bookmarkEnd w:id="9"/>
      <w:bookmarkEnd w:id="10"/>
    </w:p>
    <w:p w14:paraId="0735CCDA" w14:textId="77777777" w:rsidR="006939E1" w:rsidRDefault="006939E1" w:rsidP="00DC20C0">
      <w:pPr>
        <w:jc w:val="both"/>
      </w:pPr>
    </w:p>
    <w:p w14:paraId="1A0BC6FF" w14:textId="3561E25D" w:rsidR="00DC20C0" w:rsidRPr="006939E1" w:rsidRDefault="00DC20C0" w:rsidP="006939E1">
      <w:pPr>
        <w:jc w:val="both"/>
        <w:rPr>
          <w:rFonts w:cstheme="minorHAnsi"/>
        </w:rPr>
      </w:pPr>
      <w:r w:rsidRPr="006939E1">
        <w:rPr>
          <w:rFonts w:cstheme="minorHAnsi"/>
        </w:rPr>
        <w:t>The NEC was established in June 1973 as a non-board governed regulatory agency that operates at “arm’s-length” from the provincial government.</w:t>
      </w:r>
    </w:p>
    <w:p w14:paraId="50DDEF0A" w14:textId="77777777" w:rsidR="00DC20C0" w:rsidRPr="006939E1" w:rsidRDefault="00DC20C0" w:rsidP="006939E1">
      <w:pPr>
        <w:jc w:val="both"/>
        <w:rPr>
          <w:rFonts w:cstheme="minorHAnsi"/>
        </w:rPr>
      </w:pPr>
      <w:r w:rsidRPr="006939E1">
        <w:rPr>
          <w:rFonts w:cstheme="minorHAnsi"/>
        </w:rPr>
        <w:t>The NEC’s role is to administer the NEP by making decisions on proposed development permit applications and making recommendations to the Minister of Natural Resources and Forestry on proposed NEP amendments. The NEC is mandated to interpret and apply policies of the NEP in a way that achieves the purpose and objectives of the NEPDA and NEP. The decisions of the NEC are made independently, impartially and according to a risk management framework.</w:t>
      </w:r>
    </w:p>
    <w:p w14:paraId="6D283AA1" w14:textId="77777777" w:rsidR="00DC20C0" w:rsidRPr="006939E1" w:rsidRDefault="00DC20C0" w:rsidP="006939E1">
      <w:pPr>
        <w:jc w:val="both"/>
        <w:rPr>
          <w:rFonts w:cstheme="minorHAnsi"/>
        </w:rPr>
      </w:pPr>
      <w:r w:rsidRPr="006939E1">
        <w:rPr>
          <w:rFonts w:cstheme="minorHAnsi"/>
        </w:rPr>
        <w:t>The NEC has 17 positions—16 Commissioners and a Chair—appointed by Order-in-Council. Nine members, including the Chair, represent the public-at-large and eight members represent the upper- and lower-tier municipalities within the NEP area. A full list of Commission members that served in 2020-21 is listed in Appendix 1.  For the first time in several years, the NEC is functioning with a full complement of 17 appointees.</w:t>
      </w:r>
    </w:p>
    <w:p w14:paraId="3B5E3730" w14:textId="3F9644C7" w:rsidR="00DC20C0" w:rsidRPr="006939E1" w:rsidRDefault="00DC20C0" w:rsidP="006939E1">
      <w:pPr>
        <w:jc w:val="both"/>
        <w:rPr>
          <w:rFonts w:cstheme="minorHAnsi"/>
        </w:rPr>
      </w:pPr>
      <w:r w:rsidRPr="006939E1">
        <w:rPr>
          <w:rFonts w:cstheme="minorHAnsi"/>
        </w:rPr>
        <w:t>The Commission meets regularly to consider development permit applications and land-use proposals, development of policy guidance to support NEP implementation, deal with amendments, and to address compliance matters. For the entirety of 2020-21</w:t>
      </w:r>
      <w:r w:rsidR="00462EB6" w:rsidRPr="006939E1">
        <w:rPr>
          <w:rFonts w:cstheme="minorHAnsi"/>
        </w:rPr>
        <w:t>,</w:t>
      </w:r>
      <w:r w:rsidRPr="006939E1">
        <w:rPr>
          <w:rFonts w:cstheme="minorHAnsi"/>
        </w:rPr>
        <w:t xml:space="preserve"> the Commission met through ‘virtual’ meetings (via WebEx) due to the COVID-19 pandemic and closure of workplaces.  </w:t>
      </w:r>
    </w:p>
    <w:p w14:paraId="2877FA4A" w14:textId="0102999B" w:rsidR="00DC20C0" w:rsidRPr="006939E1" w:rsidRDefault="00DC20C0" w:rsidP="006939E1">
      <w:pPr>
        <w:jc w:val="both"/>
        <w:rPr>
          <w:rFonts w:cstheme="minorHAnsi"/>
        </w:rPr>
      </w:pPr>
      <w:r w:rsidRPr="006939E1">
        <w:rPr>
          <w:rFonts w:cstheme="minorHAnsi"/>
        </w:rPr>
        <w:t xml:space="preserve">Meetings </w:t>
      </w:r>
      <w:r w:rsidR="001A2D54" w:rsidRPr="006939E1">
        <w:rPr>
          <w:rFonts w:cstheme="minorHAnsi"/>
        </w:rPr>
        <w:t xml:space="preserve">remain </w:t>
      </w:r>
      <w:r w:rsidRPr="006939E1">
        <w:rPr>
          <w:rFonts w:cstheme="minorHAnsi"/>
        </w:rPr>
        <w:t>open to the public and were accessible through WebEx.  The NEC is supported by 24 full-time and four seasonal staff positions.</w:t>
      </w:r>
    </w:p>
    <w:p w14:paraId="1DC9B829" w14:textId="77777777" w:rsidR="00DC20C0" w:rsidRDefault="00DC20C0" w:rsidP="00DC20C0">
      <w:r>
        <w:br w:type="page"/>
      </w:r>
    </w:p>
    <w:p w14:paraId="5EAAB71D" w14:textId="77777777" w:rsidR="00DC20C0" w:rsidRDefault="00DC20C0" w:rsidP="00DC20C0">
      <w:pPr>
        <w:pStyle w:val="Heading2"/>
      </w:pPr>
      <w:bookmarkStart w:id="11" w:name="_Toc44333607"/>
      <w:bookmarkStart w:id="12" w:name="_Toc74895884"/>
      <w:r>
        <w:lastRenderedPageBreak/>
        <w:t>The Niagara Escarpment Plan</w:t>
      </w:r>
      <w:bookmarkEnd w:id="11"/>
      <w:bookmarkEnd w:id="12"/>
    </w:p>
    <w:p w14:paraId="762125CC" w14:textId="77777777" w:rsidR="006939E1" w:rsidRDefault="006939E1" w:rsidP="00DC20C0">
      <w:pPr>
        <w:jc w:val="both"/>
      </w:pPr>
    </w:p>
    <w:p w14:paraId="563FB28B" w14:textId="2BB9132B" w:rsidR="00DC20C0" w:rsidRPr="006939E1" w:rsidRDefault="00DC20C0" w:rsidP="006939E1">
      <w:pPr>
        <w:jc w:val="both"/>
        <w:rPr>
          <w:rFonts w:cstheme="minorHAnsi"/>
        </w:rPr>
      </w:pPr>
      <w:r w:rsidRPr="006939E1">
        <w:rPr>
          <w:rFonts w:cstheme="minorHAnsi"/>
        </w:rPr>
        <w:t>The Niagara Escarpment and lands in its vicinity are protected by the NEP. In 1985, the Ontario government adopted this visionary, environment-first plan, which aims to maintain the Escarpment “substantially as a continuous natural environment”. Any development that occurs within the NEP area must be compatible with this purpose.</w:t>
      </w:r>
    </w:p>
    <w:p w14:paraId="64B1649F" w14:textId="77777777" w:rsidR="00DC20C0" w:rsidRPr="006939E1" w:rsidRDefault="00DC20C0" w:rsidP="006939E1">
      <w:pPr>
        <w:jc w:val="both"/>
        <w:rPr>
          <w:rFonts w:cstheme="minorHAnsi"/>
        </w:rPr>
      </w:pPr>
      <w:r w:rsidRPr="006939E1">
        <w:rPr>
          <w:rFonts w:cstheme="minorHAnsi"/>
        </w:rPr>
        <w:t>The NEP area covers portions of 23 local municipalities within seven regions and counties, and the City of Hamilton. A map of the NEP area is found in Appendix 2 and a full list of the municipalities found within the NEP area is contained in Appendix 3.</w:t>
      </w:r>
    </w:p>
    <w:p w14:paraId="046E17B5" w14:textId="77777777" w:rsidR="00DC20C0" w:rsidRPr="006939E1" w:rsidRDefault="00DC20C0" w:rsidP="006939E1">
      <w:pPr>
        <w:jc w:val="both"/>
        <w:rPr>
          <w:rFonts w:cstheme="minorHAnsi"/>
        </w:rPr>
      </w:pPr>
      <w:r w:rsidRPr="006939E1">
        <w:rPr>
          <w:rFonts w:cstheme="minorHAnsi"/>
        </w:rPr>
        <w:t>The NEP outlines land-use designations and associated development criteria. The plan also provides the framework for more than 160 parks and open spaces linked by the Bruce Trail. As well, the NEP protects significant natural heritage features and ensures the maintenance of the Escarpment’s open landscape, conserving the Escarpment’s scenery, agricultural land and complementary rural activities.</w:t>
      </w:r>
    </w:p>
    <w:p w14:paraId="0E903C78" w14:textId="77777777" w:rsidR="00DC20C0" w:rsidRPr="006939E1" w:rsidRDefault="00DC20C0" w:rsidP="006939E1">
      <w:pPr>
        <w:jc w:val="both"/>
        <w:rPr>
          <w:rFonts w:cstheme="minorHAnsi"/>
        </w:rPr>
      </w:pPr>
      <w:r w:rsidRPr="006939E1">
        <w:rPr>
          <w:rFonts w:cstheme="minorHAnsi"/>
        </w:rPr>
        <w:t xml:space="preserve">The NEP is reviewed and amended on a regular basis. Legislated reviews of the NEP were completed in 1994, 2005 and most recently in 2017. In 2005, the NEPDA was revised to coordinate the review of the NEP with the 10-year review of the Greenbelt Plan. In May 2017, the most recent review came to a conclusion with the release of four revised provincial land-use plans: </w:t>
      </w:r>
      <w:proofErr w:type="gramStart"/>
      <w:r w:rsidRPr="006939E1">
        <w:rPr>
          <w:rFonts w:cstheme="minorHAnsi"/>
        </w:rPr>
        <w:t>the</w:t>
      </w:r>
      <w:proofErr w:type="gramEnd"/>
      <w:r w:rsidRPr="006939E1">
        <w:rPr>
          <w:rFonts w:cstheme="minorHAnsi"/>
        </w:rPr>
        <w:t xml:space="preserve"> Greenbelt Plan, the Oak Ridges Moraine Conservation Plan, the Growth Plan for the Greater Golden Horseshoe, and the NEP. The updated NEP came into effect on June 1, 2017.</w:t>
      </w:r>
    </w:p>
    <w:p w14:paraId="4E6C8688" w14:textId="0D5E8372" w:rsidR="00DC20C0" w:rsidRPr="006939E1" w:rsidRDefault="00DC20C0" w:rsidP="006939E1">
      <w:pPr>
        <w:jc w:val="both"/>
        <w:rPr>
          <w:rFonts w:cstheme="minorHAnsi"/>
          <w:highlight w:val="yellow"/>
        </w:rPr>
      </w:pPr>
      <w:r w:rsidRPr="006939E1">
        <w:rPr>
          <w:rFonts w:cstheme="minorHAnsi"/>
        </w:rPr>
        <w:t xml:space="preserve">The NEP (2017) includes updated mapping that reflects changes on the landscape, and new policies that provide stronger protection for natural heritage features and functions. New agricultural policies support the Province’s efforts to grow Ontario’s agri-food and rural sectors and ensure that farming continues to be a viable economic activity in prime agricultural areas. The NEP also enables the Commission, in consultation with </w:t>
      </w:r>
      <w:r w:rsidR="00673302" w:rsidRPr="006939E1">
        <w:rPr>
          <w:rFonts w:cstheme="minorHAnsi"/>
        </w:rPr>
        <w:t>NDMNRF</w:t>
      </w:r>
      <w:r w:rsidRPr="006939E1">
        <w:rPr>
          <w:rFonts w:cstheme="minorHAnsi"/>
        </w:rPr>
        <w:t>, to prepare and issue guidance material and technical criteria to assist implementation.  The section of this Annual Report entitled “Niagara Escarpment Plan Implementation” provides a summary of work initiated by the NEC in this regard.</w:t>
      </w:r>
    </w:p>
    <w:p w14:paraId="3471FF6D" w14:textId="77777777" w:rsidR="00DC20C0" w:rsidRDefault="00DC20C0" w:rsidP="00DC20C0">
      <w:r>
        <w:br w:type="page"/>
      </w:r>
    </w:p>
    <w:p w14:paraId="1460C148" w14:textId="77777777" w:rsidR="00DC20C0" w:rsidRDefault="00DC20C0" w:rsidP="00DC20C0">
      <w:pPr>
        <w:pStyle w:val="Heading2"/>
      </w:pPr>
      <w:bookmarkStart w:id="13" w:name="_Toc44333608"/>
      <w:bookmarkStart w:id="14" w:name="_Toc74895885"/>
      <w:r>
        <w:lastRenderedPageBreak/>
        <w:t>Strategic and Operational Context</w:t>
      </w:r>
      <w:bookmarkEnd w:id="13"/>
      <w:bookmarkEnd w:id="14"/>
    </w:p>
    <w:p w14:paraId="029A8826" w14:textId="77777777" w:rsidR="006939E1" w:rsidRDefault="006939E1" w:rsidP="00C86D2B">
      <w:pPr>
        <w:pStyle w:val="NoSpacing"/>
        <w:spacing w:line="276" w:lineRule="auto"/>
        <w:jc w:val="both"/>
        <w:rPr>
          <w:rFonts w:cstheme="minorHAnsi"/>
          <w:w w:val="107"/>
        </w:rPr>
      </w:pPr>
    </w:p>
    <w:p w14:paraId="27B9BF4D" w14:textId="7DE55A44" w:rsidR="00C863C8" w:rsidRPr="006939E1" w:rsidRDefault="00C863C8" w:rsidP="006939E1">
      <w:pPr>
        <w:pStyle w:val="NoSpacing"/>
        <w:spacing w:line="276" w:lineRule="auto"/>
        <w:jc w:val="both"/>
        <w:rPr>
          <w:rFonts w:cstheme="minorHAnsi"/>
          <w:w w:val="107"/>
          <w:szCs w:val="24"/>
        </w:rPr>
      </w:pPr>
      <w:r w:rsidRPr="006939E1">
        <w:rPr>
          <w:rFonts w:cstheme="minorHAnsi"/>
          <w:w w:val="107"/>
          <w:szCs w:val="24"/>
        </w:rPr>
        <w:t xml:space="preserve">As a provincial agency, the NEC functions in accordance with the following values of the Ontario Public Service (OPS): trust, fairness, diversity, excellence, creativity, collaboration, efficiency and responsiveness. The NEC’s strategic focus is rooted in </w:t>
      </w:r>
      <w:r w:rsidR="00673302" w:rsidRPr="006939E1">
        <w:rPr>
          <w:rFonts w:cstheme="minorHAnsi"/>
          <w:w w:val="107"/>
          <w:szCs w:val="24"/>
        </w:rPr>
        <w:t>NDMNRF</w:t>
      </w:r>
      <w:r w:rsidRPr="006939E1">
        <w:rPr>
          <w:rFonts w:cstheme="minorHAnsi"/>
          <w:w w:val="107"/>
          <w:szCs w:val="24"/>
        </w:rPr>
        <w:t>’s vision as set out in its Strategic Plan, Naturally Resourceful, in which:</w:t>
      </w:r>
    </w:p>
    <w:p w14:paraId="1BECBE0C" w14:textId="77777777" w:rsidR="00C863C8" w:rsidRPr="006939E1" w:rsidRDefault="00C863C8" w:rsidP="006939E1">
      <w:pPr>
        <w:pStyle w:val="NoSpacing"/>
        <w:spacing w:line="276" w:lineRule="auto"/>
        <w:jc w:val="both"/>
        <w:rPr>
          <w:rFonts w:cstheme="minorHAnsi"/>
          <w:w w:val="107"/>
          <w:szCs w:val="24"/>
          <w:highlight w:val="yellow"/>
        </w:rPr>
      </w:pPr>
    </w:p>
    <w:p w14:paraId="64439A5D" w14:textId="77777777" w:rsidR="00C863C8" w:rsidRPr="006939E1" w:rsidRDefault="00C863C8" w:rsidP="006939E1">
      <w:pPr>
        <w:pStyle w:val="NoSpacing"/>
        <w:spacing w:line="276" w:lineRule="auto"/>
        <w:jc w:val="both"/>
        <w:rPr>
          <w:rFonts w:cstheme="minorHAnsi"/>
          <w:i/>
          <w:w w:val="107"/>
          <w:szCs w:val="24"/>
        </w:rPr>
      </w:pPr>
      <w:r w:rsidRPr="006939E1">
        <w:rPr>
          <w:rFonts w:cstheme="minorHAnsi"/>
          <w:i/>
          <w:w w:val="107"/>
          <w:szCs w:val="24"/>
        </w:rPr>
        <w:t xml:space="preserve">Ontarians benefit from the health and wealth of the province’s natural resources, today and in the future.  </w:t>
      </w:r>
    </w:p>
    <w:p w14:paraId="1085D0FB" w14:textId="77777777" w:rsidR="00C863C8" w:rsidRPr="006939E1" w:rsidRDefault="00C863C8" w:rsidP="006939E1">
      <w:pPr>
        <w:pStyle w:val="NoSpacing"/>
        <w:spacing w:line="276" w:lineRule="auto"/>
        <w:jc w:val="both"/>
        <w:rPr>
          <w:rFonts w:cstheme="minorHAnsi"/>
          <w:w w:val="107"/>
          <w:szCs w:val="24"/>
        </w:rPr>
      </w:pPr>
    </w:p>
    <w:p w14:paraId="78AEF5F0" w14:textId="77777777" w:rsidR="00C863C8" w:rsidRPr="006939E1" w:rsidRDefault="00C863C8" w:rsidP="006939E1">
      <w:pPr>
        <w:pStyle w:val="NoSpacing"/>
        <w:spacing w:line="276" w:lineRule="auto"/>
        <w:jc w:val="both"/>
        <w:rPr>
          <w:rFonts w:cstheme="minorHAnsi"/>
          <w:w w:val="107"/>
          <w:szCs w:val="24"/>
        </w:rPr>
      </w:pPr>
      <w:r w:rsidRPr="006939E1">
        <w:rPr>
          <w:rFonts w:cstheme="minorHAnsi"/>
          <w:w w:val="107"/>
          <w:szCs w:val="24"/>
        </w:rPr>
        <w:t>The mission is:</w:t>
      </w:r>
    </w:p>
    <w:p w14:paraId="6B1DE056" w14:textId="77777777" w:rsidR="00C863C8" w:rsidRPr="006939E1" w:rsidRDefault="00C863C8" w:rsidP="006939E1">
      <w:pPr>
        <w:pStyle w:val="NoSpacing"/>
        <w:spacing w:line="276" w:lineRule="auto"/>
        <w:jc w:val="both"/>
        <w:rPr>
          <w:rFonts w:cstheme="minorHAnsi"/>
          <w:w w:val="107"/>
          <w:szCs w:val="24"/>
        </w:rPr>
      </w:pPr>
    </w:p>
    <w:p w14:paraId="74342FA9" w14:textId="77777777" w:rsidR="00C863C8" w:rsidRPr="006939E1" w:rsidRDefault="00C863C8" w:rsidP="006939E1">
      <w:pPr>
        <w:pStyle w:val="NoSpacing"/>
        <w:spacing w:line="276" w:lineRule="auto"/>
        <w:jc w:val="both"/>
        <w:rPr>
          <w:rFonts w:cstheme="minorHAnsi"/>
          <w:i/>
          <w:iCs/>
          <w:w w:val="107"/>
          <w:szCs w:val="24"/>
        </w:rPr>
      </w:pPr>
      <w:r w:rsidRPr="006939E1">
        <w:rPr>
          <w:rFonts w:cstheme="minorHAnsi"/>
          <w:i/>
          <w:iCs/>
          <w:w w:val="107"/>
          <w:szCs w:val="24"/>
        </w:rPr>
        <w:t>To sustainably manage and promote the responsible use of our natural resources.</w:t>
      </w:r>
    </w:p>
    <w:p w14:paraId="6670310E" w14:textId="77777777" w:rsidR="00C863C8" w:rsidRPr="006939E1" w:rsidRDefault="00C863C8" w:rsidP="006939E1">
      <w:pPr>
        <w:pStyle w:val="NoSpacing"/>
        <w:spacing w:line="276" w:lineRule="auto"/>
        <w:jc w:val="both"/>
        <w:rPr>
          <w:rFonts w:cstheme="minorHAnsi"/>
          <w:w w:val="107"/>
          <w:szCs w:val="24"/>
        </w:rPr>
      </w:pPr>
      <w:r w:rsidRPr="006939E1">
        <w:rPr>
          <w:rFonts w:cstheme="minorHAnsi"/>
          <w:w w:val="107"/>
          <w:szCs w:val="24"/>
        </w:rPr>
        <w:t>The NEC is governed by the NEPDA, the provincial government’s Agencies and Appointments Directive, as well as a Memorandum of Understanding (MOU) and Delegation of Authority between the NEC Chair and the Minister of Natural Resources and Forestry. The NEPDA establishes the planning framework for the NEP. The role of the NEC is to implement the NEP and related program responsibilities in a way that achieves the purpose and objectives of the Plan and the Act:</w:t>
      </w:r>
    </w:p>
    <w:p w14:paraId="7916DD98" w14:textId="77777777" w:rsidR="00C863C8" w:rsidRPr="006939E1" w:rsidRDefault="00C863C8" w:rsidP="006939E1">
      <w:pPr>
        <w:pStyle w:val="NoSpacing"/>
        <w:spacing w:line="276" w:lineRule="auto"/>
        <w:rPr>
          <w:rFonts w:cstheme="minorHAnsi"/>
          <w:w w:val="107"/>
          <w:szCs w:val="24"/>
        </w:rPr>
      </w:pPr>
    </w:p>
    <w:p w14:paraId="7D40058E" w14:textId="77777777" w:rsidR="00C863C8" w:rsidRPr="006939E1" w:rsidRDefault="00C863C8" w:rsidP="006939E1">
      <w:pPr>
        <w:pStyle w:val="Heading3"/>
        <w:spacing w:line="276" w:lineRule="auto"/>
        <w:rPr>
          <w:rFonts w:asciiTheme="minorHAnsi" w:hAnsiTheme="minorHAnsi" w:cstheme="minorHAnsi"/>
          <w:w w:val="107"/>
          <w:sz w:val="24"/>
          <w:szCs w:val="24"/>
        </w:rPr>
      </w:pPr>
      <w:bookmarkStart w:id="15" w:name="_Toc12440780"/>
      <w:bookmarkStart w:id="16" w:name="_Toc44333609"/>
      <w:bookmarkStart w:id="17" w:name="_Toc74895886"/>
      <w:r w:rsidRPr="006939E1">
        <w:rPr>
          <w:rFonts w:asciiTheme="minorHAnsi" w:hAnsiTheme="minorHAnsi" w:cstheme="minorHAnsi"/>
          <w:w w:val="107"/>
          <w:sz w:val="24"/>
          <w:szCs w:val="24"/>
        </w:rPr>
        <w:t>Purpose</w:t>
      </w:r>
      <w:bookmarkEnd w:id="15"/>
      <w:bookmarkEnd w:id="16"/>
      <w:bookmarkEnd w:id="17"/>
    </w:p>
    <w:p w14:paraId="1C2203D0" w14:textId="77777777" w:rsidR="00C863C8" w:rsidRPr="006939E1" w:rsidRDefault="00C863C8" w:rsidP="006939E1">
      <w:pPr>
        <w:pStyle w:val="NoSpacing"/>
        <w:spacing w:line="276" w:lineRule="auto"/>
        <w:jc w:val="both"/>
        <w:rPr>
          <w:rFonts w:cstheme="minorHAnsi"/>
          <w:w w:val="107"/>
          <w:szCs w:val="24"/>
        </w:rPr>
      </w:pPr>
      <w:r w:rsidRPr="006939E1">
        <w:rPr>
          <w:rFonts w:cstheme="minorHAnsi"/>
          <w:w w:val="107"/>
          <w:szCs w:val="24"/>
        </w:rPr>
        <w:t>To provide for the maintenance of the Niagara Escarpment and land in its vicinity substantially as a continuous natural environment, and to ensure only such development occurs as is compatible with that natural environment.</w:t>
      </w:r>
    </w:p>
    <w:p w14:paraId="5FF8F357" w14:textId="77777777" w:rsidR="00C863C8" w:rsidRPr="006939E1" w:rsidRDefault="00C863C8" w:rsidP="006939E1">
      <w:pPr>
        <w:pStyle w:val="NoSpacing"/>
        <w:spacing w:line="276" w:lineRule="auto"/>
        <w:rPr>
          <w:rFonts w:cstheme="minorHAnsi"/>
          <w:w w:val="107"/>
          <w:szCs w:val="24"/>
        </w:rPr>
      </w:pPr>
    </w:p>
    <w:p w14:paraId="6C9C33F5" w14:textId="77777777" w:rsidR="00C863C8" w:rsidRPr="006939E1" w:rsidRDefault="00C863C8" w:rsidP="006939E1">
      <w:pPr>
        <w:pStyle w:val="Heading3"/>
        <w:spacing w:line="276" w:lineRule="auto"/>
        <w:rPr>
          <w:rFonts w:asciiTheme="minorHAnsi" w:hAnsiTheme="minorHAnsi" w:cstheme="minorHAnsi"/>
          <w:w w:val="107"/>
          <w:sz w:val="24"/>
          <w:szCs w:val="24"/>
        </w:rPr>
      </w:pPr>
      <w:bookmarkStart w:id="18" w:name="_Toc12440781"/>
      <w:bookmarkStart w:id="19" w:name="_Toc44333610"/>
      <w:bookmarkStart w:id="20" w:name="_Toc74895887"/>
      <w:r w:rsidRPr="006939E1">
        <w:rPr>
          <w:rFonts w:asciiTheme="minorHAnsi" w:hAnsiTheme="minorHAnsi" w:cstheme="minorHAnsi"/>
          <w:w w:val="107"/>
          <w:sz w:val="24"/>
          <w:szCs w:val="24"/>
        </w:rPr>
        <w:t>Objectives</w:t>
      </w:r>
      <w:bookmarkEnd w:id="18"/>
      <w:bookmarkEnd w:id="19"/>
      <w:bookmarkEnd w:id="20"/>
    </w:p>
    <w:p w14:paraId="3F8238A9" w14:textId="77777777" w:rsidR="00C863C8" w:rsidRPr="006939E1" w:rsidRDefault="00C863C8" w:rsidP="006939E1">
      <w:pPr>
        <w:pStyle w:val="NoSpacing"/>
        <w:numPr>
          <w:ilvl w:val="0"/>
          <w:numId w:val="1"/>
        </w:numPr>
        <w:spacing w:line="276" w:lineRule="auto"/>
        <w:ind w:left="1440"/>
        <w:jc w:val="both"/>
        <w:rPr>
          <w:rFonts w:cstheme="minorHAnsi"/>
          <w:w w:val="107"/>
          <w:szCs w:val="24"/>
        </w:rPr>
      </w:pPr>
      <w:r w:rsidRPr="006939E1">
        <w:rPr>
          <w:rFonts w:cstheme="minorHAnsi"/>
          <w:w w:val="107"/>
          <w:szCs w:val="24"/>
        </w:rPr>
        <w:t>To protect unique ecological and historic areas</w:t>
      </w:r>
    </w:p>
    <w:p w14:paraId="01C49293" w14:textId="77777777" w:rsidR="00C863C8" w:rsidRPr="006939E1" w:rsidRDefault="00C863C8" w:rsidP="006939E1">
      <w:pPr>
        <w:pStyle w:val="NoSpacing"/>
        <w:numPr>
          <w:ilvl w:val="0"/>
          <w:numId w:val="1"/>
        </w:numPr>
        <w:spacing w:line="276" w:lineRule="auto"/>
        <w:ind w:left="1440"/>
        <w:jc w:val="both"/>
        <w:rPr>
          <w:rFonts w:cstheme="minorHAnsi"/>
          <w:w w:val="107"/>
          <w:szCs w:val="24"/>
        </w:rPr>
      </w:pPr>
      <w:r w:rsidRPr="006939E1">
        <w:rPr>
          <w:rFonts w:cstheme="minorHAnsi"/>
          <w:w w:val="107"/>
          <w:szCs w:val="24"/>
        </w:rPr>
        <w:t>To maintain and enhance the quality and character of natural streams and water supplies</w:t>
      </w:r>
    </w:p>
    <w:p w14:paraId="6D37C972" w14:textId="77777777" w:rsidR="00C863C8" w:rsidRPr="006939E1" w:rsidRDefault="00C863C8" w:rsidP="006939E1">
      <w:pPr>
        <w:pStyle w:val="NoSpacing"/>
        <w:numPr>
          <w:ilvl w:val="0"/>
          <w:numId w:val="1"/>
        </w:numPr>
        <w:spacing w:line="276" w:lineRule="auto"/>
        <w:ind w:left="1440"/>
        <w:jc w:val="both"/>
        <w:rPr>
          <w:rFonts w:cstheme="minorHAnsi"/>
          <w:w w:val="107"/>
          <w:szCs w:val="24"/>
        </w:rPr>
      </w:pPr>
      <w:r w:rsidRPr="006939E1">
        <w:rPr>
          <w:rFonts w:cstheme="minorHAnsi"/>
          <w:w w:val="107"/>
          <w:szCs w:val="24"/>
        </w:rPr>
        <w:t xml:space="preserve">To provide adequate opportunities for outdoor recreation </w:t>
      </w:r>
    </w:p>
    <w:p w14:paraId="10381587" w14:textId="77777777" w:rsidR="00C863C8" w:rsidRPr="006939E1" w:rsidRDefault="00C863C8" w:rsidP="006939E1">
      <w:pPr>
        <w:pStyle w:val="NoSpacing"/>
        <w:numPr>
          <w:ilvl w:val="0"/>
          <w:numId w:val="1"/>
        </w:numPr>
        <w:spacing w:line="276" w:lineRule="auto"/>
        <w:ind w:left="1440"/>
        <w:jc w:val="both"/>
        <w:rPr>
          <w:rFonts w:cstheme="minorHAnsi"/>
          <w:w w:val="107"/>
          <w:szCs w:val="24"/>
        </w:rPr>
      </w:pPr>
      <w:r w:rsidRPr="006939E1">
        <w:rPr>
          <w:rFonts w:cstheme="minorHAnsi"/>
          <w:w w:val="107"/>
          <w:szCs w:val="24"/>
        </w:rPr>
        <w:t>To maintain and enhance the open landscape character of the Niagara Escarpment in so far as possible, by such means as compatible farming or forestry and by preserving the natural scenery</w:t>
      </w:r>
    </w:p>
    <w:p w14:paraId="529E90DE" w14:textId="77777777" w:rsidR="00C863C8" w:rsidRPr="006939E1" w:rsidRDefault="00C863C8" w:rsidP="006939E1">
      <w:pPr>
        <w:pStyle w:val="NoSpacing"/>
        <w:numPr>
          <w:ilvl w:val="0"/>
          <w:numId w:val="1"/>
        </w:numPr>
        <w:spacing w:line="276" w:lineRule="auto"/>
        <w:ind w:left="1440"/>
        <w:jc w:val="both"/>
        <w:rPr>
          <w:rFonts w:cstheme="minorHAnsi"/>
          <w:w w:val="107"/>
          <w:szCs w:val="24"/>
        </w:rPr>
      </w:pPr>
      <w:r w:rsidRPr="006939E1">
        <w:rPr>
          <w:rFonts w:cstheme="minorHAnsi"/>
          <w:w w:val="107"/>
          <w:szCs w:val="24"/>
        </w:rPr>
        <w:t>To ensure that all new development is compatible with the purpose of the plan</w:t>
      </w:r>
    </w:p>
    <w:p w14:paraId="282870AA" w14:textId="77777777" w:rsidR="00C863C8" w:rsidRPr="006939E1" w:rsidRDefault="00C863C8" w:rsidP="006939E1">
      <w:pPr>
        <w:pStyle w:val="NoSpacing"/>
        <w:numPr>
          <w:ilvl w:val="0"/>
          <w:numId w:val="1"/>
        </w:numPr>
        <w:spacing w:line="276" w:lineRule="auto"/>
        <w:ind w:left="1440"/>
        <w:jc w:val="both"/>
        <w:rPr>
          <w:rFonts w:cstheme="minorHAnsi"/>
          <w:w w:val="107"/>
          <w:szCs w:val="24"/>
        </w:rPr>
      </w:pPr>
      <w:r w:rsidRPr="006939E1">
        <w:rPr>
          <w:rFonts w:cstheme="minorHAnsi"/>
          <w:w w:val="107"/>
          <w:szCs w:val="24"/>
        </w:rPr>
        <w:t>To provide for adequate public access to the Niagara Escarpment</w:t>
      </w:r>
    </w:p>
    <w:p w14:paraId="3276DF55" w14:textId="77777777" w:rsidR="00C863C8" w:rsidRPr="006939E1" w:rsidRDefault="00C863C8" w:rsidP="006939E1">
      <w:pPr>
        <w:pStyle w:val="NoSpacing"/>
        <w:numPr>
          <w:ilvl w:val="0"/>
          <w:numId w:val="1"/>
        </w:numPr>
        <w:spacing w:line="276" w:lineRule="auto"/>
        <w:ind w:left="1440"/>
        <w:jc w:val="both"/>
        <w:rPr>
          <w:rFonts w:cstheme="minorHAnsi"/>
          <w:w w:val="107"/>
          <w:szCs w:val="24"/>
        </w:rPr>
      </w:pPr>
      <w:r w:rsidRPr="006939E1">
        <w:rPr>
          <w:rFonts w:cstheme="minorHAnsi"/>
          <w:w w:val="107"/>
          <w:szCs w:val="24"/>
        </w:rPr>
        <w:lastRenderedPageBreak/>
        <w:t>To support municipalities within the Niagara Escarpment Plan Area in their exercise of the planning functions conferred upon them by the Planning Act.</w:t>
      </w:r>
    </w:p>
    <w:p w14:paraId="156294DA" w14:textId="77777777" w:rsidR="00C863C8" w:rsidRPr="006939E1" w:rsidRDefault="00C863C8" w:rsidP="006939E1">
      <w:pPr>
        <w:pStyle w:val="NoSpacing"/>
        <w:spacing w:line="276" w:lineRule="auto"/>
        <w:jc w:val="both"/>
        <w:rPr>
          <w:rFonts w:cstheme="minorHAnsi"/>
          <w:w w:val="107"/>
          <w:szCs w:val="24"/>
        </w:rPr>
      </w:pPr>
      <w:r w:rsidRPr="006939E1">
        <w:rPr>
          <w:rFonts w:cstheme="minorHAnsi"/>
          <w:w w:val="107"/>
          <w:szCs w:val="24"/>
        </w:rPr>
        <w:t xml:space="preserve"> </w:t>
      </w:r>
    </w:p>
    <w:p w14:paraId="01F521ED" w14:textId="77777777" w:rsidR="00C863C8" w:rsidRPr="006939E1" w:rsidRDefault="00C863C8" w:rsidP="006939E1">
      <w:pPr>
        <w:pStyle w:val="NoSpacing"/>
        <w:spacing w:line="276" w:lineRule="auto"/>
        <w:jc w:val="both"/>
        <w:rPr>
          <w:rFonts w:cstheme="minorHAnsi"/>
          <w:w w:val="107"/>
          <w:szCs w:val="24"/>
        </w:rPr>
      </w:pPr>
      <w:r w:rsidRPr="006939E1">
        <w:rPr>
          <w:rFonts w:cstheme="minorHAnsi"/>
          <w:w w:val="107"/>
          <w:szCs w:val="24"/>
        </w:rPr>
        <w:t>A new MOU between the NEC Chair and the Minister of Natural Resources and Forestry was prepared and signed in early 2021.  In general terms, the MOU</w:t>
      </w:r>
    </w:p>
    <w:p w14:paraId="34233373" w14:textId="77777777" w:rsidR="00C863C8" w:rsidRPr="006939E1" w:rsidRDefault="00C863C8" w:rsidP="006939E1">
      <w:pPr>
        <w:pStyle w:val="NoSpacing"/>
        <w:spacing w:line="276" w:lineRule="auto"/>
        <w:jc w:val="both"/>
        <w:rPr>
          <w:rFonts w:cstheme="minorHAnsi"/>
          <w:w w:val="107"/>
          <w:szCs w:val="24"/>
        </w:rPr>
      </w:pPr>
      <w:r w:rsidRPr="006939E1">
        <w:rPr>
          <w:rFonts w:cstheme="minorHAnsi"/>
          <w:w w:val="107"/>
          <w:szCs w:val="24"/>
        </w:rPr>
        <w:t>provides additional detail to the NEC regarding its mandate and core functions, while the Delegation of Authority designates the power to approve Development Permit Applications and other responsibilities to the Commission and the Director, under certain circumstances. Taken together, the NEPDA, the NEP, the MOU and the Delegation of Authority define the governance structure of the NEC.</w:t>
      </w:r>
    </w:p>
    <w:p w14:paraId="45799F04" w14:textId="77777777" w:rsidR="00C863C8" w:rsidRPr="006939E1" w:rsidRDefault="00C863C8" w:rsidP="006939E1">
      <w:pPr>
        <w:pStyle w:val="NoSpacing"/>
        <w:spacing w:line="276" w:lineRule="auto"/>
        <w:jc w:val="both"/>
        <w:rPr>
          <w:rFonts w:cstheme="minorHAnsi"/>
          <w:w w:val="107"/>
          <w:szCs w:val="24"/>
        </w:rPr>
      </w:pPr>
    </w:p>
    <w:p w14:paraId="65D63DEF" w14:textId="40259BB7" w:rsidR="00C863C8" w:rsidRPr="006939E1" w:rsidRDefault="00C863C8" w:rsidP="006939E1">
      <w:pPr>
        <w:pStyle w:val="NoSpacing"/>
        <w:spacing w:line="276" w:lineRule="auto"/>
        <w:jc w:val="both"/>
        <w:rPr>
          <w:rFonts w:cstheme="minorHAnsi"/>
          <w:w w:val="107"/>
          <w:szCs w:val="24"/>
        </w:rPr>
      </w:pPr>
      <w:r w:rsidRPr="006939E1">
        <w:rPr>
          <w:rFonts w:cstheme="minorHAnsi"/>
          <w:w w:val="107"/>
          <w:szCs w:val="24"/>
        </w:rPr>
        <w:t xml:space="preserve">The operational context for the NEC in 2020-21 involved </w:t>
      </w:r>
      <w:r w:rsidR="002002E8" w:rsidRPr="006939E1">
        <w:rPr>
          <w:rFonts w:cstheme="minorHAnsi"/>
          <w:w w:val="107"/>
          <w:szCs w:val="24"/>
        </w:rPr>
        <w:t xml:space="preserve">the </w:t>
      </w:r>
      <w:r w:rsidRPr="006939E1">
        <w:rPr>
          <w:rFonts w:cstheme="minorHAnsi"/>
          <w:w w:val="107"/>
          <w:szCs w:val="24"/>
        </w:rPr>
        <w:t xml:space="preserve">continuation of work from home arrangements due to the COVID-19 pandemic.  While working from </w:t>
      </w:r>
      <w:r w:rsidR="002E197C" w:rsidRPr="006939E1">
        <w:rPr>
          <w:rFonts w:cstheme="minorHAnsi"/>
          <w:w w:val="107"/>
          <w:szCs w:val="24"/>
        </w:rPr>
        <w:t>home presented</w:t>
      </w:r>
      <w:r w:rsidRPr="006939E1">
        <w:rPr>
          <w:rFonts w:cstheme="minorHAnsi"/>
          <w:w w:val="107"/>
          <w:szCs w:val="24"/>
        </w:rPr>
        <w:t xml:space="preserve"> challenges, Commission staff continued to adapt, find efficiencies and solutions, and ensure objectives of the NEP would be met.  In the later part of 2020 and early in 2021, Commission staff began to experience a significant upswing in the number of Development Permit applications triggered by soaring real estate markets.  This presented challenges to staff and resulted in an increase in the timelines for issuance of Development Permits.</w:t>
      </w:r>
    </w:p>
    <w:p w14:paraId="6712DFBA" w14:textId="77777777" w:rsidR="00C863C8" w:rsidRPr="006939E1" w:rsidRDefault="00C863C8" w:rsidP="006939E1">
      <w:pPr>
        <w:pStyle w:val="NoSpacing"/>
        <w:spacing w:line="276" w:lineRule="auto"/>
        <w:jc w:val="both"/>
        <w:rPr>
          <w:rFonts w:cstheme="minorHAnsi"/>
          <w:w w:val="107"/>
          <w:szCs w:val="24"/>
        </w:rPr>
      </w:pPr>
      <w:r w:rsidRPr="006939E1">
        <w:rPr>
          <w:rFonts w:cstheme="minorHAnsi"/>
          <w:w w:val="107"/>
          <w:szCs w:val="24"/>
        </w:rPr>
        <w:t xml:space="preserve"> </w:t>
      </w:r>
    </w:p>
    <w:p w14:paraId="5A1DBD9B" w14:textId="7DD3A50D" w:rsidR="00C863C8" w:rsidRPr="006939E1" w:rsidRDefault="00C863C8" w:rsidP="006939E1">
      <w:pPr>
        <w:pStyle w:val="NoSpacing"/>
        <w:spacing w:line="276" w:lineRule="auto"/>
        <w:jc w:val="both"/>
        <w:rPr>
          <w:rFonts w:cstheme="minorHAnsi"/>
          <w:w w:val="107"/>
          <w:szCs w:val="24"/>
        </w:rPr>
      </w:pPr>
      <w:r w:rsidRPr="006939E1">
        <w:rPr>
          <w:rFonts w:cstheme="minorHAnsi"/>
          <w:w w:val="107"/>
          <w:szCs w:val="24"/>
        </w:rPr>
        <w:t xml:space="preserve">A significant strategic initiative </w:t>
      </w:r>
      <w:r w:rsidR="00633E3F" w:rsidRPr="006939E1">
        <w:rPr>
          <w:rFonts w:cstheme="minorHAnsi"/>
          <w:w w:val="107"/>
          <w:szCs w:val="24"/>
        </w:rPr>
        <w:t xml:space="preserve">is </w:t>
      </w:r>
      <w:r w:rsidRPr="006939E1">
        <w:rPr>
          <w:rFonts w:cstheme="minorHAnsi"/>
          <w:w w:val="107"/>
          <w:szCs w:val="24"/>
        </w:rPr>
        <w:t xml:space="preserve">underway within </w:t>
      </w:r>
      <w:r w:rsidR="00673302" w:rsidRPr="006939E1">
        <w:rPr>
          <w:rFonts w:cstheme="minorHAnsi"/>
          <w:w w:val="107"/>
          <w:szCs w:val="24"/>
        </w:rPr>
        <w:t>NDMNRF</w:t>
      </w:r>
      <w:r w:rsidRPr="006939E1">
        <w:rPr>
          <w:rFonts w:cstheme="minorHAnsi"/>
          <w:w w:val="107"/>
          <w:szCs w:val="24"/>
        </w:rPr>
        <w:t xml:space="preserve"> </w:t>
      </w:r>
      <w:r w:rsidR="00633E3F" w:rsidRPr="006939E1">
        <w:rPr>
          <w:rFonts w:cstheme="minorHAnsi"/>
          <w:w w:val="107"/>
          <w:szCs w:val="24"/>
        </w:rPr>
        <w:t>involving</w:t>
      </w:r>
      <w:r w:rsidR="00B12877" w:rsidRPr="006939E1">
        <w:rPr>
          <w:rFonts w:cstheme="minorHAnsi"/>
          <w:w w:val="107"/>
          <w:szCs w:val="24"/>
        </w:rPr>
        <w:t xml:space="preserve"> the</w:t>
      </w:r>
      <w:r w:rsidR="00633E3F" w:rsidRPr="006939E1">
        <w:rPr>
          <w:rFonts w:cstheme="minorHAnsi"/>
          <w:w w:val="107"/>
          <w:szCs w:val="24"/>
        </w:rPr>
        <w:t xml:space="preserve"> </w:t>
      </w:r>
      <w:r w:rsidRPr="006939E1">
        <w:rPr>
          <w:rFonts w:cstheme="minorHAnsi"/>
          <w:w w:val="107"/>
          <w:szCs w:val="24"/>
        </w:rPr>
        <w:t>creation of the Recovery and Renewal Secretariat that was formed to oversee and support re-opening of the workplace, as well as influencing resumption and reimagination of effective and efficient service delivery.  The NEC is engaging with the Secretariat to optimize its programs, leverage opportunities and to align with broader government and ministry initiatives.</w:t>
      </w:r>
    </w:p>
    <w:p w14:paraId="41FFD7BF" w14:textId="77777777" w:rsidR="00C863C8" w:rsidRPr="006939E1" w:rsidRDefault="00C863C8" w:rsidP="006939E1">
      <w:pPr>
        <w:pStyle w:val="NoSpacing"/>
        <w:spacing w:line="276" w:lineRule="auto"/>
        <w:jc w:val="both"/>
        <w:rPr>
          <w:rFonts w:cstheme="minorHAnsi"/>
          <w:w w:val="107"/>
          <w:szCs w:val="24"/>
        </w:rPr>
      </w:pPr>
    </w:p>
    <w:p w14:paraId="0F049E92" w14:textId="08413035" w:rsidR="00554C0B" w:rsidRPr="006939E1" w:rsidRDefault="00C863C8" w:rsidP="006939E1">
      <w:pPr>
        <w:pStyle w:val="NoSpacing"/>
        <w:spacing w:line="276" w:lineRule="auto"/>
        <w:jc w:val="both"/>
        <w:rPr>
          <w:rFonts w:cstheme="minorHAnsi"/>
          <w:w w:val="107"/>
          <w:szCs w:val="24"/>
        </w:rPr>
      </w:pPr>
      <w:r w:rsidRPr="006939E1">
        <w:rPr>
          <w:rFonts w:cstheme="minorHAnsi"/>
          <w:w w:val="107"/>
          <w:szCs w:val="24"/>
        </w:rPr>
        <w:t>Also, under the Agencies and Appointments Directive</w:t>
      </w:r>
      <w:r w:rsidR="00F16BDB" w:rsidRPr="006939E1">
        <w:rPr>
          <w:rFonts w:cstheme="minorHAnsi"/>
          <w:w w:val="107"/>
          <w:szCs w:val="24"/>
        </w:rPr>
        <w:t>,</w:t>
      </w:r>
      <w:r w:rsidRPr="006939E1">
        <w:rPr>
          <w:rFonts w:cstheme="minorHAnsi"/>
          <w:w w:val="107"/>
          <w:szCs w:val="24"/>
        </w:rPr>
        <w:t xml:space="preserve"> the NEC is required to submit an Annual Report to the Minister of Natural Resources and Forestry for approval within 90 days of the end of the fiscal year. This report describes the activities in fiscal year 2020-21.   Once approved by the Minister, the Annual Report is tabled in the Legislature before being made publicly available and posted to the NEC’s website at www.escarpment.org.</w:t>
      </w:r>
    </w:p>
    <w:p w14:paraId="1E4C5ADE" w14:textId="77777777" w:rsidR="00554C0B" w:rsidRDefault="00554C0B">
      <w:pPr>
        <w:rPr>
          <w:w w:val="107"/>
        </w:rPr>
      </w:pPr>
      <w:r>
        <w:rPr>
          <w:w w:val="107"/>
        </w:rPr>
        <w:br w:type="page"/>
      </w:r>
    </w:p>
    <w:p w14:paraId="2F16FCF1" w14:textId="77777777" w:rsidR="0032712C" w:rsidRDefault="004503FC" w:rsidP="004503FC">
      <w:pPr>
        <w:pStyle w:val="Heading1"/>
        <w:jc w:val="left"/>
        <w:rPr>
          <w:w w:val="107"/>
        </w:rPr>
      </w:pPr>
      <w:bookmarkStart w:id="21" w:name="_Toc74895888"/>
      <w:bookmarkStart w:id="22" w:name="_Toc44333611"/>
      <w:r>
        <w:rPr>
          <w:w w:val="107"/>
        </w:rPr>
        <w:lastRenderedPageBreak/>
        <w:t>Operational Strategy</w:t>
      </w:r>
      <w:bookmarkEnd w:id="21"/>
    </w:p>
    <w:p w14:paraId="79565C1C" w14:textId="1FF2796D" w:rsidR="00881751" w:rsidRDefault="0032712C" w:rsidP="004503FC">
      <w:pPr>
        <w:pStyle w:val="Heading1"/>
        <w:jc w:val="left"/>
        <w:rPr>
          <w:rFonts w:asciiTheme="majorHAnsi" w:eastAsiaTheme="majorEastAsia" w:hAnsiTheme="majorHAnsi" w:cstheme="majorBidi"/>
          <w:b/>
          <w:bCs/>
          <w:w w:val="107"/>
          <w:sz w:val="32"/>
          <w:szCs w:val="26"/>
        </w:rPr>
      </w:pPr>
      <w:bookmarkStart w:id="23" w:name="_Toc74895745"/>
      <w:bookmarkStart w:id="24" w:name="_Toc74895889"/>
      <w:r>
        <w:rPr>
          <w:noProof/>
        </w:rPr>
        <mc:AlternateContent>
          <mc:Choice Requires="wps">
            <w:drawing>
              <wp:anchor distT="0" distB="0" distL="114300" distR="114300" simplePos="0" relativeHeight="251656704" behindDoc="0" locked="0" layoutInCell="1" allowOverlap="1" wp14:anchorId="34291634" wp14:editId="6409B89C">
                <wp:simplePos x="0" y="0"/>
                <wp:positionH relativeFrom="column">
                  <wp:posOffset>0</wp:posOffset>
                </wp:positionH>
                <wp:positionV relativeFrom="paragraph">
                  <wp:posOffset>0</wp:posOffset>
                </wp:positionV>
                <wp:extent cx="6068291" cy="0"/>
                <wp:effectExtent l="0" t="0" r="0" b="0"/>
                <wp:wrapNone/>
                <wp:docPr id="16" name="Straight Connector 1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682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E6940A9" id="Straight Connector 16" o:spid="_x0000_s1026" alt="&quot;&quot;" style="position:absolute;z-index:251656704;visibility:visible;mso-wrap-style:square;mso-wrap-distance-left:9pt;mso-wrap-distance-top:0;mso-wrap-distance-right:9pt;mso-wrap-distance-bottom:0;mso-position-horizontal:absolute;mso-position-horizontal-relative:text;mso-position-vertical:absolute;mso-position-vertical-relative:text" from="0,0" to="47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" strokecolor="black [3040]"/>
            </w:pict>
          </mc:Fallback>
        </mc:AlternateContent>
      </w:r>
      <w:bookmarkEnd w:id="23"/>
      <w:bookmarkEnd w:id="24"/>
      <w:r w:rsidR="00881751">
        <w:rPr>
          <w:w w:val="107"/>
        </w:rPr>
        <w:br w:type="page"/>
      </w:r>
    </w:p>
    <w:p w14:paraId="4D1C194B" w14:textId="253B91D5" w:rsidR="00A064B5" w:rsidRDefault="00A064B5" w:rsidP="003B67D7">
      <w:pPr>
        <w:pStyle w:val="Heading2"/>
        <w:rPr>
          <w:w w:val="107"/>
        </w:rPr>
      </w:pPr>
      <w:bookmarkStart w:id="25" w:name="_Toc74895890"/>
      <w:r>
        <w:rPr>
          <w:w w:val="107"/>
        </w:rPr>
        <w:lastRenderedPageBreak/>
        <w:t>Operational Strategy Overview</w:t>
      </w:r>
      <w:bookmarkEnd w:id="22"/>
      <w:bookmarkEnd w:id="25"/>
    </w:p>
    <w:p w14:paraId="2EF1243B" w14:textId="77777777" w:rsidR="006939E1" w:rsidRDefault="006939E1" w:rsidP="00A064B5">
      <w:pPr>
        <w:pStyle w:val="NoSpacing"/>
        <w:jc w:val="both"/>
      </w:pPr>
    </w:p>
    <w:p w14:paraId="4A033500" w14:textId="47129529" w:rsidR="00A064B5" w:rsidRPr="00C65268" w:rsidRDefault="00A064B5" w:rsidP="006939E1">
      <w:pPr>
        <w:pStyle w:val="NoSpacing"/>
        <w:spacing w:line="276" w:lineRule="auto"/>
        <w:jc w:val="both"/>
      </w:pPr>
      <w:r w:rsidRPr="736343AB">
        <w:t>In June 2017, at the conclusion of the provincial government’s Co-ordinated Land Use Planning Review, the NEC began implementing a multi-year Operational Strategy to guide its mandate: the implementation of the 2017 NEP. This section of the Annual Report provides an update on the agency’s continued progress in 20</w:t>
      </w:r>
      <w:r>
        <w:t>20</w:t>
      </w:r>
      <w:r w:rsidRPr="736343AB">
        <w:t>-2</w:t>
      </w:r>
      <w:r>
        <w:t>1</w:t>
      </w:r>
      <w:r w:rsidRPr="736343AB">
        <w:t xml:space="preserve"> toward implementing the agency’s Operational Strategy.</w:t>
      </w:r>
    </w:p>
    <w:p w14:paraId="78152A45" w14:textId="77777777" w:rsidR="00A064B5" w:rsidRPr="00C65268" w:rsidRDefault="00A064B5" w:rsidP="006939E1">
      <w:pPr>
        <w:pStyle w:val="NoSpacing"/>
        <w:spacing w:line="276" w:lineRule="auto"/>
        <w:jc w:val="both"/>
        <w:rPr>
          <w:rFonts w:cstheme="minorHAnsi"/>
        </w:rPr>
      </w:pPr>
    </w:p>
    <w:p w14:paraId="5F03A122" w14:textId="6AB30996" w:rsidR="00A064B5" w:rsidRDefault="00A064B5" w:rsidP="006939E1">
      <w:pPr>
        <w:pStyle w:val="NoSpacing"/>
        <w:spacing w:line="276" w:lineRule="auto"/>
        <w:jc w:val="both"/>
        <w:rPr>
          <w:rFonts w:cstheme="minorHAnsi"/>
        </w:rPr>
      </w:pPr>
      <w:r>
        <w:rPr>
          <w:rFonts w:cstheme="minorHAnsi"/>
        </w:rPr>
        <w:t xml:space="preserve">The need to adapt to working from home and addressing new program implementation tactics due to the COVID-19 pandemic impacted </w:t>
      </w:r>
      <w:r w:rsidR="0076771E">
        <w:rPr>
          <w:rFonts w:cstheme="minorHAnsi"/>
        </w:rPr>
        <w:t>the</w:t>
      </w:r>
      <w:r w:rsidR="00C86D2B">
        <w:rPr>
          <w:rFonts w:cstheme="minorHAnsi"/>
        </w:rPr>
        <w:t xml:space="preserve"> </w:t>
      </w:r>
      <w:r>
        <w:rPr>
          <w:rFonts w:cstheme="minorHAnsi"/>
        </w:rPr>
        <w:t>execution of elements of the Operational Strategy.  Notwithstanding, it has remained an important framework and was highly effective in supporting business continuity over the past year and made the Commission resilient and adaptable to the emergency situation.</w:t>
      </w:r>
    </w:p>
    <w:p w14:paraId="29499029" w14:textId="77777777" w:rsidR="00A064B5" w:rsidRDefault="00A064B5" w:rsidP="006939E1">
      <w:pPr>
        <w:pStyle w:val="NoSpacing"/>
        <w:spacing w:line="276" w:lineRule="auto"/>
        <w:jc w:val="both"/>
        <w:rPr>
          <w:rFonts w:cstheme="minorHAnsi"/>
        </w:rPr>
      </w:pPr>
      <w:r>
        <w:rPr>
          <w:rFonts w:cstheme="minorHAnsi"/>
        </w:rPr>
        <w:t xml:space="preserve">  </w:t>
      </w:r>
    </w:p>
    <w:p w14:paraId="062C4393" w14:textId="1483CD8D" w:rsidR="00A064B5" w:rsidRPr="00C65268" w:rsidRDefault="00A064B5" w:rsidP="006939E1">
      <w:pPr>
        <w:pStyle w:val="NoSpacing"/>
        <w:spacing w:line="276" w:lineRule="auto"/>
        <w:jc w:val="both"/>
        <w:rPr>
          <w:rFonts w:cstheme="minorHAnsi"/>
        </w:rPr>
      </w:pPr>
      <w:r w:rsidRPr="00C65268">
        <w:rPr>
          <w:rFonts w:cstheme="minorHAnsi"/>
        </w:rPr>
        <w:t>Specific activities and achievements under each of the priorities are described in the sections that follow.</w:t>
      </w:r>
      <w:r>
        <w:rPr>
          <w:rFonts w:cstheme="minorHAnsi"/>
        </w:rPr>
        <w:t xml:space="preserve">  Impacts </w:t>
      </w:r>
      <w:r w:rsidR="0033320A">
        <w:rPr>
          <w:rFonts w:cstheme="minorHAnsi"/>
        </w:rPr>
        <w:t xml:space="preserve">of the </w:t>
      </w:r>
      <w:r>
        <w:rPr>
          <w:rFonts w:cstheme="minorHAnsi"/>
        </w:rPr>
        <w:t xml:space="preserve">Provincial Emergency Orders on implementing aspects of the Strategy are </w:t>
      </w:r>
      <w:r w:rsidR="0033320A">
        <w:rPr>
          <w:rFonts w:cstheme="minorHAnsi"/>
        </w:rPr>
        <w:t xml:space="preserve">also </w:t>
      </w:r>
      <w:r>
        <w:rPr>
          <w:rFonts w:cstheme="minorHAnsi"/>
        </w:rPr>
        <w:t>noted.</w:t>
      </w:r>
    </w:p>
    <w:p w14:paraId="6B29073C" w14:textId="77777777" w:rsidR="00A064B5" w:rsidRDefault="00A064B5" w:rsidP="00A064B5"/>
    <w:p w14:paraId="200788C7" w14:textId="77777777" w:rsidR="00A064B5" w:rsidRPr="007D2BD8" w:rsidRDefault="00A064B5" w:rsidP="007D2BD8">
      <w:pPr>
        <w:pStyle w:val="Heading2"/>
      </w:pPr>
      <w:bookmarkStart w:id="26" w:name="_Toc12440783"/>
      <w:bookmarkStart w:id="27" w:name="_Toc44333612"/>
      <w:bookmarkStart w:id="28" w:name="_Toc74895891"/>
      <w:r w:rsidRPr="007D2BD8">
        <w:t>NEC Operational Strategy</w:t>
      </w:r>
      <w:bookmarkEnd w:id="26"/>
      <w:bookmarkEnd w:id="27"/>
      <w:r w:rsidRPr="007D2BD8">
        <w:t xml:space="preserve"> – Core Elements</w:t>
      </w:r>
      <w:bookmarkEnd w:id="28"/>
    </w:p>
    <w:p w14:paraId="5C16F70F" w14:textId="77777777" w:rsidR="00A064B5" w:rsidRDefault="00A064B5" w:rsidP="00A064B5">
      <w:pPr>
        <w:pStyle w:val="NoSpacing"/>
      </w:pPr>
    </w:p>
    <w:p w14:paraId="7810E033" w14:textId="2A20D5F5" w:rsidR="00A064B5" w:rsidRPr="00FD1D23" w:rsidRDefault="00A064B5" w:rsidP="006939E1">
      <w:pPr>
        <w:pStyle w:val="ListParagraph"/>
        <w:numPr>
          <w:ilvl w:val="0"/>
          <w:numId w:val="34"/>
        </w:numPr>
        <w:rPr>
          <w:b/>
          <w:bCs/>
        </w:rPr>
      </w:pPr>
      <w:r w:rsidRPr="00FD1D23">
        <w:rPr>
          <w:b/>
          <w:bCs/>
        </w:rPr>
        <w:t>Business &amp; Organizational Effectiveness</w:t>
      </w:r>
    </w:p>
    <w:p w14:paraId="3A75F7FE" w14:textId="77777777" w:rsidR="00A064B5" w:rsidRPr="00C65268" w:rsidRDefault="00A064B5" w:rsidP="006939E1">
      <w:pPr>
        <w:pStyle w:val="NoSpacing"/>
        <w:numPr>
          <w:ilvl w:val="0"/>
          <w:numId w:val="3"/>
        </w:numPr>
        <w:spacing w:line="276" w:lineRule="auto"/>
        <w:jc w:val="both"/>
        <w:rPr>
          <w:rFonts w:cstheme="minorHAnsi"/>
        </w:rPr>
      </w:pPr>
      <w:r w:rsidRPr="00C65268">
        <w:rPr>
          <w:rFonts w:cstheme="minorHAnsi"/>
        </w:rPr>
        <w:t>Develop and align resources (</w:t>
      </w:r>
      <w:r>
        <w:rPr>
          <w:rFonts w:cstheme="minorHAnsi"/>
        </w:rPr>
        <w:t xml:space="preserve">i.e. </w:t>
      </w:r>
      <w:r w:rsidRPr="00C65268">
        <w:rPr>
          <w:rFonts w:cstheme="minorHAnsi"/>
        </w:rPr>
        <w:t xml:space="preserve">people, information, tools and space) and streamline business processes to continuously improve program implementation and customer service. </w:t>
      </w:r>
    </w:p>
    <w:p w14:paraId="5AB7A1AA" w14:textId="77777777" w:rsidR="00A064B5" w:rsidRPr="00C65268" w:rsidRDefault="00A064B5" w:rsidP="006939E1">
      <w:pPr>
        <w:pStyle w:val="NoSpacing"/>
        <w:spacing w:line="276" w:lineRule="auto"/>
        <w:jc w:val="both"/>
        <w:rPr>
          <w:rFonts w:cstheme="minorHAnsi"/>
        </w:rPr>
      </w:pPr>
    </w:p>
    <w:p w14:paraId="51C1E128" w14:textId="3BB2E34E" w:rsidR="00A064B5" w:rsidRPr="00FD1D23" w:rsidRDefault="00A064B5" w:rsidP="006939E1">
      <w:pPr>
        <w:pStyle w:val="ListParagraph"/>
        <w:numPr>
          <w:ilvl w:val="0"/>
          <w:numId w:val="34"/>
        </w:numPr>
        <w:rPr>
          <w:b/>
          <w:bCs/>
        </w:rPr>
      </w:pPr>
      <w:r w:rsidRPr="00FD1D23">
        <w:rPr>
          <w:b/>
          <w:bCs/>
        </w:rPr>
        <w:t>Promote the NEC</w:t>
      </w:r>
    </w:p>
    <w:p w14:paraId="15E792AD" w14:textId="77777777" w:rsidR="00A064B5" w:rsidRPr="00C65268" w:rsidRDefault="00A064B5" w:rsidP="006939E1">
      <w:pPr>
        <w:pStyle w:val="NoSpacing"/>
        <w:numPr>
          <w:ilvl w:val="0"/>
          <w:numId w:val="3"/>
        </w:numPr>
        <w:spacing w:line="276" w:lineRule="auto"/>
        <w:jc w:val="both"/>
        <w:rPr>
          <w:rFonts w:cstheme="minorHAnsi"/>
        </w:rPr>
      </w:pPr>
      <w:r w:rsidRPr="00C65268">
        <w:rPr>
          <w:rFonts w:cstheme="minorHAnsi"/>
        </w:rPr>
        <w:t>Seek partnerships and collaboration with regulatory partners and stakeholders on the efficient and streamlined implementation of the NEP</w:t>
      </w:r>
      <w:r>
        <w:rPr>
          <w:rFonts w:cstheme="minorHAnsi"/>
        </w:rPr>
        <w:t>.</w:t>
      </w:r>
    </w:p>
    <w:p w14:paraId="6FF2B3D6" w14:textId="022E479E" w:rsidR="00A064B5" w:rsidRDefault="00A064B5" w:rsidP="006939E1">
      <w:pPr>
        <w:pStyle w:val="NoSpacing"/>
        <w:numPr>
          <w:ilvl w:val="0"/>
          <w:numId w:val="3"/>
        </w:numPr>
        <w:spacing w:line="276" w:lineRule="auto"/>
        <w:jc w:val="both"/>
        <w:rPr>
          <w:rFonts w:cstheme="minorHAnsi"/>
        </w:rPr>
      </w:pPr>
      <w:r w:rsidRPr="00C65268">
        <w:rPr>
          <w:rFonts w:cstheme="minorHAnsi"/>
        </w:rPr>
        <w:t>Educate clients, regulatory partners, stakeholders and Indigenous communities on the 2017 NEP and the Niagara Escarpment’s UNESCO Biosphere Reserve designation</w:t>
      </w:r>
      <w:r>
        <w:rPr>
          <w:rFonts w:cstheme="minorHAnsi"/>
        </w:rPr>
        <w:t>.</w:t>
      </w:r>
    </w:p>
    <w:p w14:paraId="447E2C79" w14:textId="77777777" w:rsidR="00FD1D23" w:rsidRPr="00C65268" w:rsidRDefault="00FD1D23" w:rsidP="006939E1">
      <w:pPr>
        <w:pStyle w:val="NoSpacing"/>
        <w:spacing w:line="276" w:lineRule="auto"/>
        <w:ind w:left="1080"/>
        <w:jc w:val="both"/>
        <w:rPr>
          <w:rFonts w:cstheme="minorHAnsi"/>
        </w:rPr>
      </w:pPr>
    </w:p>
    <w:p w14:paraId="4AF7173B" w14:textId="66F491AE" w:rsidR="00A064B5" w:rsidRPr="00FD1D23" w:rsidRDefault="00A064B5" w:rsidP="006939E1">
      <w:pPr>
        <w:pStyle w:val="ListParagraph"/>
        <w:numPr>
          <w:ilvl w:val="0"/>
          <w:numId w:val="34"/>
        </w:numPr>
        <w:rPr>
          <w:b/>
          <w:bCs/>
        </w:rPr>
      </w:pPr>
      <w:r w:rsidRPr="00FD1D23">
        <w:rPr>
          <w:b/>
          <w:bCs/>
        </w:rPr>
        <w:t>Streamline and Modernize Regulations and Update Legislation</w:t>
      </w:r>
    </w:p>
    <w:p w14:paraId="044310D9" w14:textId="77777777" w:rsidR="00A064B5" w:rsidRPr="00C65268" w:rsidRDefault="00A064B5" w:rsidP="006939E1">
      <w:pPr>
        <w:pStyle w:val="NoSpacing"/>
        <w:numPr>
          <w:ilvl w:val="0"/>
          <w:numId w:val="4"/>
        </w:numPr>
        <w:spacing w:line="276" w:lineRule="auto"/>
        <w:jc w:val="both"/>
        <w:rPr>
          <w:rFonts w:cstheme="minorHAnsi"/>
        </w:rPr>
      </w:pPr>
      <w:r w:rsidRPr="00C65268">
        <w:rPr>
          <w:rFonts w:cstheme="minorHAnsi"/>
        </w:rPr>
        <w:t>Propose to the government changes to the NEPDA focused on process and program delivery efficiencies</w:t>
      </w:r>
      <w:r>
        <w:rPr>
          <w:rFonts w:cstheme="minorHAnsi"/>
        </w:rPr>
        <w:t>, and to modernize the legislative framework governing protection of the Niagara Escarpment.</w:t>
      </w:r>
    </w:p>
    <w:p w14:paraId="1BEA0337" w14:textId="77777777" w:rsidR="00A064B5" w:rsidRPr="00C65268" w:rsidRDefault="00A064B5" w:rsidP="006939E1">
      <w:pPr>
        <w:pStyle w:val="NoSpacing"/>
        <w:numPr>
          <w:ilvl w:val="0"/>
          <w:numId w:val="4"/>
        </w:numPr>
        <w:spacing w:line="276" w:lineRule="auto"/>
        <w:jc w:val="both"/>
        <w:rPr>
          <w:rFonts w:cstheme="minorHAnsi"/>
        </w:rPr>
      </w:pPr>
      <w:r w:rsidRPr="00C65268">
        <w:rPr>
          <w:rFonts w:cstheme="minorHAnsi"/>
        </w:rPr>
        <w:lastRenderedPageBreak/>
        <w:t xml:space="preserve">Propose to the government refinements </w:t>
      </w:r>
      <w:r>
        <w:rPr>
          <w:rFonts w:cstheme="minorHAnsi"/>
        </w:rPr>
        <w:t xml:space="preserve">to </w:t>
      </w:r>
      <w:r w:rsidRPr="00C65268">
        <w:rPr>
          <w:rFonts w:cstheme="minorHAnsi"/>
        </w:rPr>
        <w:t>the NEC’s Development Control boundary and consider regulatory refinement to cut red tape and support more efficient approval processes and program delivery</w:t>
      </w:r>
      <w:r>
        <w:rPr>
          <w:rFonts w:cstheme="minorHAnsi"/>
        </w:rPr>
        <w:t>.</w:t>
      </w:r>
    </w:p>
    <w:p w14:paraId="7B8A1929" w14:textId="77777777" w:rsidR="00A064B5" w:rsidRPr="00C65268" w:rsidRDefault="00A064B5" w:rsidP="00A064B5">
      <w:pPr>
        <w:pStyle w:val="NoSpacing"/>
        <w:jc w:val="both"/>
        <w:rPr>
          <w:rFonts w:cstheme="minorHAnsi"/>
        </w:rPr>
      </w:pPr>
    </w:p>
    <w:p w14:paraId="6A668B0C" w14:textId="4B2BE19E" w:rsidR="00A064B5" w:rsidRDefault="00A064B5" w:rsidP="009C5221">
      <w:pPr>
        <w:pStyle w:val="Heading2"/>
        <w:numPr>
          <w:ilvl w:val="0"/>
          <w:numId w:val="21"/>
        </w:numPr>
      </w:pPr>
      <w:bookmarkStart w:id="29" w:name="_Toc44333613"/>
      <w:bookmarkStart w:id="30" w:name="_Toc74895892"/>
      <w:r>
        <w:t>Business and Organizational Effectiveness</w:t>
      </w:r>
      <w:bookmarkEnd w:id="29"/>
      <w:bookmarkEnd w:id="30"/>
    </w:p>
    <w:p w14:paraId="7AF12E43" w14:textId="77777777" w:rsidR="00A064B5" w:rsidRPr="00C65268" w:rsidRDefault="00A064B5" w:rsidP="00A064B5">
      <w:pPr>
        <w:pStyle w:val="NoSpacing"/>
        <w:rPr>
          <w:sz w:val="10"/>
          <w:szCs w:val="10"/>
        </w:rPr>
      </w:pPr>
    </w:p>
    <w:p w14:paraId="1188B78E" w14:textId="77777777" w:rsidR="00A064B5" w:rsidRDefault="00A064B5" w:rsidP="006939E1">
      <w:pPr>
        <w:pStyle w:val="Heading3"/>
        <w:spacing w:line="276" w:lineRule="auto"/>
      </w:pPr>
      <w:bookmarkStart w:id="31" w:name="_Toc12440785"/>
      <w:bookmarkStart w:id="32" w:name="_Toc44333614"/>
      <w:bookmarkStart w:id="33" w:name="_Toc74895893"/>
      <w:r>
        <w:t>Team-Based Model</w:t>
      </w:r>
      <w:bookmarkEnd w:id="31"/>
      <w:bookmarkEnd w:id="32"/>
      <w:bookmarkEnd w:id="33"/>
    </w:p>
    <w:p w14:paraId="44F675C3" w14:textId="77777777" w:rsidR="00A064B5" w:rsidRPr="00C65268" w:rsidRDefault="00A064B5" w:rsidP="006939E1">
      <w:pPr>
        <w:pStyle w:val="NoSpacing"/>
        <w:spacing w:line="276" w:lineRule="auto"/>
        <w:rPr>
          <w:sz w:val="10"/>
          <w:szCs w:val="10"/>
        </w:rPr>
      </w:pPr>
    </w:p>
    <w:p w14:paraId="3E109601" w14:textId="77777777" w:rsidR="00A064B5" w:rsidRPr="00C65268" w:rsidRDefault="00A064B5" w:rsidP="006939E1">
      <w:pPr>
        <w:jc w:val="both"/>
      </w:pPr>
      <w:r w:rsidRPr="736343AB">
        <w:t>In 20</w:t>
      </w:r>
      <w:r>
        <w:t>20</w:t>
      </w:r>
      <w:r w:rsidRPr="736343AB">
        <w:t>-2</w:t>
      </w:r>
      <w:r>
        <w:t>1</w:t>
      </w:r>
      <w:r w:rsidRPr="736343AB">
        <w:t>, the NEC</w:t>
      </w:r>
      <w:r>
        <w:t xml:space="preserve"> relied heavily on the team-based service delivery model to support its operations while working remotely.  </w:t>
      </w:r>
      <w:r w:rsidRPr="736343AB">
        <w:t xml:space="preserve">Through this model, multi-functional teams are assigned to geographically based client groups to deliver the full range of NEC services. There are three teams – one for each of the southern, central and northern portions of the NEP area. </w:t>
      </w:r>
      <w:r>
        <w:t xml:space="preserve">As noted in the NEC’s Business Plan, the original driver for the team-based approach was to improve customer service </w:t>
      </w:r>
      <w:r w:rsidRPr="736343AB">
        <w:t xml:space="preserve">by increasing collaboration, sharing workload through efficient and consistent triaging and providing a forum to facilitate knowledge transfer and collaboration amongst NEC staff and with regulatory partners.   The benefits of the Integrated Team approach were highlighted throughout the COVID-19 pandemic and the requirement for staff to work from home.  Regular Team meetings continued, and the approach ensured staff had a network of support, as well as a process to highlight issues and obtain </w:t>
      </w:r>
      <w:r>
        <w:t>assistance</w:t>
      </w:r>
      <w:r w:rsidRPr="736343AB">
        <w:t xml:space="preserve"> from colleagues.</w:t>
      </w:r>
      <w:r>
        <w:t xml:space="preserve">  In addition, these highly functioning teams supported on-boarding of new staff and provided mentorship in a manner that may not otherwise have been possible.</w:t>
      </w:r>
    </w:p>
    <w:p w14:paraId="1D5767E0" w14:textId="77777777" w:rsidR="00A064B5" w:rsidRPr="00C65268" w:rsidRDefault="00A064B5" w:rsidP="006939E1">
      <w:pPr>
        <w:jc w:val="both"/>
        <w:rPr>
          <w:rFonts w:cstheme="minorHAnsi"/>
        </w:rPr>
      </w:pPr>
      <w:r w:rsidRPr="00C65268">
        <w:rPr>
          <w:rFonts w:cstheme="minorHAnsi"/>
        </w:rPr>
        <w:t>Each Team consists of:</w:t>
      </w:r>
    </w:p>
    <w:p w14:paraId="3D38C91A" w14:textId="77777777" w:rsidR="00A064B5" w:rsidRPr="00C65268" w:rsidRDefault="00A064B5" w:rsidP="006939E1">
      <w:pPr>
        <w:pStyle w:val="ListParagraph"/>
        <w:widowControl w:val="0"/>
        <w:numPr>
          <w:ilvl w:val="0"/>
          <w:numId w:val="4"/>
        </w:numPr>
        <w:spacing w:after="0"/>
        <w:contextualSpacing w:val="0"/>
        <w:jc w:val="both"/>
        <w:rPr>
          <w:rFonts w:cstheme="minorHAnsi"/>
        </w:rPr>
      </w:pPr>
      <w:r w:rsidRPr="00C65268">
        <w:rPr>
          <w:rFonts w:cstheme="minorHAnsi"/>
        </w:rPr>
        <w:t>Senior Strategic Advisor</w:t>
      </w:r>
    </w:p>
    <w:p w14:paraId="4687C449" w14:textId="77777777" w:rsidR="00A064B5" w:rsidRPr="00C65268" w:rsidRDefault="00A064B5" w:rsidP="006939E1">
      <w:pPr>
        <w:pStyle w:val="ListParagraph"/>
        <w:widowControl w:val="0"/>
        <w:numPr>
          <w:ilvl w:val="0"/>
          <w:numId w:val="4"/>
        </w:numPr>
        <w:spacing w:after="0"/>
        <w:contextualSpacing w:val="0"/>
        <w:jc w:val="both"/>
        <w:rPr>
          <w:rFonts w:cstheme="minorHAnsi"/>
        </w:rPr>
      </w:pPr>
      <w:r w:rsidRPr="00C65268">
        <w:rPr>
          <w:rFonts w:cstheme="minorHAnsi"/>
        </w:rPr>
        <w:t>Senior Planners</w:t>
      </w:r>
    </w:p>
    <w:p w14:paraId="6181F631" w14:textId="77777777" w:rsidR="00A064B5" w:rsidRPr="00C65268" w:rsidRDefault="00A064B5" w:rsidP="006939E1">
      <w:pPr>
        <w:pStyle w:val="ListParagraph"/>
        <w:widowControl w:val="0"/>
        <w:numPr>
          <w:ilvl w:val="0"/>
          <w:numId w:val="4"/>
        </w:numPr>
        <w:spacing w:after="0"/>
        <w:contextualSpacing w:val="0"/>
        <w:jc w:val="both"/>
        <w:rPr>
          <w:rFonts w:cstheme="minorHAnsi"/>
        </w:rPr>
      </w:pPr>
      <w:r w:rsidRPr="00C65268">
        <w:rPr>
          <w:rFonts w:cstheme="minorHAnsi"/>
        </w:rPr>
        <w:t>Planner</w:t>
      </w:r>
      <w:r>
        <w:rPr>
          <w:rFonts w:cstheme="minorHAnsi"/>
        </w:rPr>
        <w:t>(s)</w:t>
      </w:r>
    </w:p>
    <w:p w14:paraId="51CE8F31" w14:textId="77777777" w:rsidR="00A064B5" w:rsidRPr="00C65268" w:rsidRDefault="00A064B5" w:rsidP="006939E1">
      <w:pPr>
        <w:pStyle w:val="ListParagraph"/>
        <w:widowControl w:val="0"/>
        <w:numPr>
          <w:ilvl w:val="0"/>
          <w:numId w:val="4"/>
        </w:numPr>
        <w:spacing w:after="0"/>
        <w:contextualSpacing w:val="0"/>
        <w:jc w:val="both"/>
        <w:rPr>
          <w:rFonts w:cstheme="minorHAnsi"/>
        </w:rPr>
      </w:pPr>
      <w:r w:rsidRPr="00C65268">
        <w:rPr>
          <w:rFonts w:cstheme="minorHAnsi"/>
        </w:rPr>
        <w:t>Administrative Support</w:t>
      </w:r>
    </w:p>
    <w:p w14:paraId="7C581906" w14:textId="77777777" w:rsidR="00A064B5" w:rsidRPr="00C65268" w:rsidRDefault="00A064B5" w:rsidP="006939E1">
      <w:pPr>
        <w:pStyle w:val="NoSpacing"/>
        <w:spacing w:line="276" w:lineRule="auto"/>
        <w:jc w:val="both"/>
        <w:rPr>
          <w:rFonts w:cstheme="minorHAnsi"/>
          <w:sz w:val="16"/>
          <w:szCs w:val="16"/>
        </w:rPr>
      </w:pPr>
    </w:p>
    <w:p w14:paraId="5AC4ED4B" w14:textId="77777777" w:rsidR="00A064B5" w:rsidRPr="00C65268" w:rsidRDefault="00A064B5" w:rsidP="006939E1">
      <w:pPr>
        <w:jc w:val="both"/>
        <w:rPr>
          <w:rFonts w:cstheme="minorHAnsi"/>
        </w:rPr>
      </w:pPr>
      <w:r w:rsidRPr="00C65268">
        <w:rPr>
          <w:rFonts w:cstheme="minorHAnsi"/>
        </w:rPr>
        <w:t>In addition, support is provided across all teams by the following:</w:t>
      </w:r>
    </w:p>
    <w:p w14:paraId="4FD048A9" w14:textId="77777777" w:rsidR="00A064B5" w:rsidRPr="00C65268" w:rsidRDefault="00A064B5" w:rsidP="006939E1">
      <w:pPr>
        <w:pStyle w:val="ListParagraph"/>
        <w:widowControl w:val="0"/>
        <w:numPr>
          <w:ilvl w:val="0"/>
          <w:numId w:val="6"/>
        </w:numPr>
        <w:spacing w:after="0"/>
        <w:contextualSpacing w:val="0"/>
        <w:jc w:val="both"/>
        <w:rPr>
          <w:rFonts w:cstheme="minorHAnsi"/>
        </w:rPr>
      </w:pPr>
      <w:r w:rsidRPr="00C65268">
        <w:rPr>
          <w:rFonts w:cstheme="minorHAnsi"/>
        </w:rPr>
        <w:t>G</w:t>
      </w:r>
      <w:r>
        <w:rPr>
          <w:rFonts w:cstheme="minorHAnsi"/>
        </w:rPr>
        <w:t xml:space="preserve">eographic </w:t>
      </w:r>
      <w:r w:rsidRPr="00C65268">
        <w:rPr>
          <w:rFonts w:cstheme="minorHAnsi"/>
        </w:rPr>
        <w:t>I</w:t>
      </w:r>
      <w:r>
        <w:rPr>
          <w:rFonts w:cstheme="minorHAnsi"/>
        </w:rPr>
        <w:t xml:space="preserve">nformation </w:t>
      </w:r>
      <w:r w:rsidRPr="00C65268">
        <w:rPr>
          <w:rFonts w:cstheme="minorHAnsi"/>
        </w:rPr>
        <w:t>S</w:t>
      </w:r>
      <w:r>
        <w:rPr>
          <w:rFonts w:cstheme="minorHAnsi"/>
        </w:rPr>
        <w:t>ystem</w:t>
      </w:r>
      <w:r w:rsidRPr="00C65268">
        <w:rPr>
          <w:rFonts w:cstheme="minorHAnsi"/>
        </w:rPr>
        <w:t>, I</w:t>
      </w:r>
      <w:r>
        <w:rPr>
          <w:rFonts w:cstheme="minorHAnsi"/>
        </w:rPr>
        <w:t xml:space="preserve">nformation </w:t>
      </w:r>
      <w:r w:rsidRPr="00C65268">
        <w:rPr>
          <w:rFonts w:cstheme="minorHAnsi"/>
        </w:rPr>
        <w:t>M</w:t>
      </w:r>
      <w:r>
        <w:rPr>
          <w:rFonts w:cstheme="minorHAnsi"/>
        </w:rPr>
        <w:t>anagement</w:t>
      </w:r>
      <w:r w:rsidRPr="00C65268">
        <w:rPr>
          <w:rFonts w:cstheme="minorHAnsi"/>
        </w:rPr>
        <w:t xml:space="preserve"> and I</w:t>
      </w:r>
      <w:r>
        <w:rPr>
          <w:rFonts w:cstheme="minorHAnsi"/>
        </w:rPr>
        <w:t xml:space="preserve">nformation </w:t>
      </w:r>
      <w:r w:rsidRPr="00C65268">
        <w:rPr>
          <w:rFonts w:cstheme="minorHAnsi"/>
        </w:rPr>
        <w:t>T</w:t>
      </w:r>
      <w:r>
        <w:rPr>
          <w:rFonts w:cstheme="minorHAnsi"/>
        </w:rPr>
        <w:t>echnology</w:t>
      </w:r>
      <w:r w:rsidRPr="00C65268">
        <w:rPr>
          <w:rFonts w:cstheme="minorHAnsi"/>
        </w:rPr>
        <w:t xml:space="preserve"> Unit</w:t>
      </w:r>
    </w:p>
    <w:p w14:paraId="04806340" w14:textId="77777777" w:rsidR="00A064B5" w:rsidRPr="00C65268" w:rsidRDefault="00A064B5" w:rsidP="006939E1">
      <w:pPr>
        <w:pStyle w:val="ListParagraph"/>
        <w:widowControl w:val="0"/>
        <w:numPr>
          <w:ilvl w:val="0"/>
          <w:numId w:val="6"/>
        </w:numPr>
        <w:spacing w:after="0"/>
        <w:contextualSpacing w:val="0"/>
        <w:jc w:val="both"/>
        <w:rPr>
          <w:rFonts w:cstheme="minorHAnsi"/>
        </w:rPr>
      </w:pPr>
      <w:r w:rsidRPr="00C65268">
        <w:rPr>
          <w:rFonts w:cstheme="minorHAnsi"/>
        </w:rPr>
        <w:t>Compliance Unit</w:t>
      </w:r>
    </w:p>
    <w:p w14:paraId="4C6C3849" w14:textId="77777777" w:rsidR="00A064B5" w:rsidRPr="00C65268" w:rsidRDefault="00A064B5" w:rsidP="006939E1">
      <w:pPr>
        <w:pStyle w:val="ListParagraph"/>
        <w:widowControl w:val="0"/>
        <w:numPr>
          <w:ilvl w:val="0"/>
          <w:numId w:val="6"/>
        </w:numPr>
        <w:spacing w:after="0"/>
        <w:contextualSpacing w:val="0"/>
        <w:jc w:val="both"/>
        <w:rPr>
          <w:rFonts w:cstheme="minorHAnsi"/>
        </w:rPr>
      </w:pPr>
      <w:r w:rsidRPr="00C65268">
        <w:rPr>
          <w:rFonts w:cstheme="minorHAnsi"/>
        </w:rPr>
        <w:t>Landscape Architect</w:t>
      </w:r>
    </w:p>
    <w:p w14:paraId="6EB81E89" w14:textId="77777777" w:rsidR="00A064B5" w:rsidRPr="00C65268" w:rsidRDefault="00A064B5" w:rsidP="006939E1">
      <w:pPr>
        <w:pStyle w:val="ListParagraph"/>
        <w:widowControl w:val="0"/>
        <w:numPr>
          <w:ilvl w:val="0"/>
          <w:numId w:val="6"/>
        </w:numPr>
        <w:spacing w:after="0"/>
        <w:contextualSpacing w:val="0"/>
        <w:jc w:val="both"/>
        <w:rPr>
          <w:rFonts w:cstheme="minorHAnsi"/>
        </w:rPr>
      </w:pPr>
      <w:r w:rsidRPr="00C65268">
        <w:rPr>
          <w:rFonts w:cstheme="minorHAnsi"/>
        </w:rPr>
        <w:t>Marketing and Communications</w:t>
      </w:r>
    </w:p>
    <w:p w14:paraId="28785BB1" w14:textId="77777777" w:rsidR="00A064B5" w:rsidRPr="00C65268" w:rsidRDefault="00A064B5" w:rsidP="006939E1">
      <w:pPr>
        <w:pStyle w:val="NoSpacing"/>
        <w:numPr>
          <w:ilvl w:val="0"/>
          <w:numId w:val="6"/>
        </w:numPr>
        <w:spacing w:line="276" w:lineRule="auto"/>
        <w:jc w:val="both"/>
        <w:rPr>
          <w:rFonts w:cstheme="minorHAnsi"/>
        </w:rPr>
      </w:pPr>
      <w:r w:rsidRPr="00C65268">
        <w:rPr>
          <w:rFonts w:cstheme="minorHAnsi"/>
        </w:rPr>
        <w:t>Commission Meeting and Administrative Support</w:t>
      </w:r>
    </w:p>
    <w:p w14:paraId="2C625AC3" w14:textId="77777777" w:rsidR="00A064B5" w:rsidRPr="00C65268" w:rsidRDefault="00A064B5" w:rsidP="006939E1">
      <w:pPr>
        <w:pStyle w:val="NoSpacing"/>
        <w:spacing w:line="276" w:lineRule="auto"/>
        <w:jc w:val="both"/>
        <w:rPr>
          <w:rFonts w:cstheme="minorHAnsi"/>
          <w:sz w:val="16"/>
          <w:szCs w:val="16"/>
        </w:rPr>
      </w:pPr>
    </w:p>
    <w:p w14:paraId="5440ACED" w14:textId="77777777" w:rsidR="00A064B5" w:rsidRDefault="00A064B5" w:rsidP="006939E1">
      <w:pPr>
        <w:pStyle w:val="NoSpacing"/>
        <w:spacing w:line="276" w:lineRule="auto"/>
        <w:jc w:val="both"/>
        <w:rPr>
          <w:rFonts w:cstheme="minorHAnsi"/>
        </w:rPr>
      </w:pPr>
      <w:r w:rsidRPr="00D91520">
        <w:rPr>
          <w:rFonts w:cstheme="minorHAnsi"/>
        </w:rPr>
        <w:t xml:space="preserve">Table 1 below compares the volume of development permit applications received by the NEC with the volume processed during the last </w:t>
      </w:r>
      <w:r>
        <w:rPr>
          <w:rFonts w:cstheme="minorHAnsi"/>
        </w:rPr>
        <w:t>six</w:t>
      </w:r>
      <w:r w:rsidRPr="00D91520">
        <w:rPr>
          <w:rFonts w:cstheme="minorHAnsi"/>
        </w:rPr>
        <w:t xml:space="preserve"> fiscal years</w:t>
      </w:r>
      <w:r>
        <w:rPr>
          <w:rFonts w:cstheme="minorHAnsi"/>
        </w:rPr>
        <w:t>, being the time period prior to introduction of the Operational Strategy to the end of 2020-21 (current year)</w:t>
      </w:r>
      <w:r w:rsidRPr="00D91520">
        <w:rPr>
          <w:rFonts w:cstheme="minorHAnsi"/>
        </w:rPr>
        <w:t xml:space="preserve">. The data </w:t>
      </w:r>
      <w:r w:rsidRPr="00D91520">
        <w:rPr>
          <w:rFonts w:cstheme="minorHAnsi"/>
        </w:rPr>
        <w:lastRenderedPageBreak/>
        <w:t xml:space="preserve">shows that the number of applications received spiked after 2015-16 and continued to rise until 2018-19 when it levelled off.  There was a slight decrease in applications received </w:t>
      </w:r>
      <w:r>
        <w:rPr>
          <w:rFonts w:cstheme="minorHAnsi"/>
        </w:rPr>
        <w:t xml:space="preserve">in 2019-20 </w:t>
      </w:r>
      <w:r w:rsidRPr="00D91520">
        <w:rPr>
          <w:rFonts w:cstheme="minorHAnsi"/>
        </w:rPr>
        <w:t>over last year in part due to onset of the COVID-19 pandemic and general decrease in economic activity.</w:t>
      </w:r>
      <w:r>
        <w:rPr>
          <w:rFonts w:cstheme="minorHAnsi"/>
        </w:rPr>
        <w:t xml:space="preserve">  However, the significant spike in 2020-21 is on par with the high volumes of 2017-18.</w:t>
      </w:r>
    </w:p>
    <w:p w14:paraId="5036E1E1" w14:textId="77777777" w:rsidR="00A064B5" w:rsidRDefault="00A064B5" w:rsidP="006939E1">
      <w:pPr>
        <w:pStyle w:val="NoSpacing"/>
        <w:spacing w:line="276" w:lineRule="auto"/>
        <w:jc w:val="both"/>
        <w:rPr>
          <w:rFonts w:cstheme="minorHAnsi"/>
        </w:rPr>
      </w:pPr>
    </w:p>
    <w:p w14:paraId="64845026" w14:textId="77777777" w:rsidR="00A064B5" w:rsidRDefault="00A064B5" w:rsidP="006939E1">
      <w:pPr>
        <w:pStyle w:val="NoSpacing"/>
        <w:spacing w:line="276" w:lineRule="auto"/>
        <w:jc w:val="both"/>
        <w:rPr>
          <w:rFonts w:cstheme="minorHAnsi"/>
        </w:rPr>
      </w:pPr>
      <w:r>
        <w:rPr>
          <w:rFonts w:cstheme="minorHAnsi"/>
        </w:rPr>
        <w:t xml:space="preserve">Notably, the </w:t>
      </w:r>
      <w:r w:rsidRPr="00C65268">
        <w:rPr>
          <w:rFonts w:cstheme="minorHAnsi"/>
        </w:rPr>
        <w:t xml:space="preserve">data shows that the NEC’s output capacity—its ability to process this increased workload—increased significantly over the </w:t>
      </w:r>
      <w:r>
        <w:rPr>
          <w:rFonts w:cstheme="minorHAnsi"/>
        </w:rPr>
        <w:t xml:space="preserve">period of 2015-16 to 2017-18 (by 58%) and by 44 per cent in 2018-19.  </w:t>
      </w:r>
      <w:r w:rsidRPr="00C65268">
        <w:rPr>
          <w:rFonts w:cstheme="minorHAnsi"/>
        </w:rPr>
        <w:t>This increased output capacity is due to the implementation of the Operational Strategy, specifically the introduction of the new team-based service delivery mode</w:t>
      </w:r>
      <w:r>
        <w:rPr>
          <w:rFonts w:cstheme="minorHAnsi"/>
        </w:rPr>
        <w:t>l and establishment of additional positions to better align with the volume of work and need for improved customer service.  Table 1 also shows the backlog of applications (comparison of number of applications received versus processed) increased in 2020-21.  This can be attributed to applicants deciding to put their applications ‘on hold’, as well as reduced capacity and operational challenges due to working from home as well as staff turnover.</w:t>
      </w:r>
    </w:p>
    <w:p w14:paraId="4303B2B9" w14:textId="77777777" w:rsidR="00A064B5" w:rsidRDefault="00A064B5" w:rsidP="00A064B5">
      <w:pPr>
        <w:pStyle w:val="NoSpacing"/>
        <w:jc w:val="both"/>
        <w:rPr>
          <w:rFonts w:cstheme="minorHAnsi"/>
        </w:rPr>
      </w:pPr>
    </w:p>
    <w:p w14:paraId="7FEC32C7" w14:textId="77777777" w:rsidR="00A064B5" w:rsidRPr="007F715A" w:rsidRDefault="00A064B5" w:rsidP="00A064B5">
      <w:pPr>
        <w:pStyle w:val="NoSpacing"/>
        <w:jc w:val="both"/>
        <w:rPr>
          <w:rFonts w:cstheme="minorHAnsi"/>
          <w:b/>
          <w:bCs/>
        </w:rPr>
      </w:pPr>
      <w:r w:rsidRPr="007F715A">
        <w:rPr>
          <w:rFonts w:cstheme="minorHAnsi"/>
          <w:b/>
          <w:bCs/>
        </w:rPr>
        <w:t>Table 1</w:t>
      </w:r>
    </w:p>
    <w:p w14:paraId="2364F8C0" w14:textId="77777777" w:rsidR="00A064B5" w:rsidRDefault="00A064B5" w:rsidP="00A064B5">
      <w:pPr>
        <w:pStyle w:val="NoSpacing"/>
        <w:jc w:val="both"/>
        <w:rPr>
          <w:rFonts w:cstheme="minorHAnsi"/>
        </w:rPr>
      </w:pPr>
    </w:p>
    <w:p w14:paraId="73A7AC59" w14:textId="77777777" w:rsidR="00A064B5" w:rsidRDefault="00A064B5" w:rsidP="00A064B5">
      <w:pPr>
        <w:pStyle w:val="NoSpacing"/>
        <w:jc w:val="both"/>
        <w:rPr>
          <w:rFonts w:cstheme="minorHAnsi"/>
        </w:rPr>
      </w:pPr>
    </w:p>
    <w:tbl>
      <w:tblPr>
        <w:tblStyle w:val="TableGrid"/>
        <w:tblW w:w="10201" w:type="dxa"/>
        <w:tblLook w:val="04A0" w:firstRow="1" w:lastRow="0" w:firstColumn="1" w:lastColumn="0" w:noHBand="0" w:noVBand="1"/>
      </w:tblPr>
      <w:tblGrid>
        <w:gridCol w:w="2972"/>
        <w:gridCol w:w="1134"/>
        <w:gridCol w:w="1276"/>
        <w:gridCol w:w="1276"/>
        <w:gridCol w:w="1275"/>
        <w:gridCol w:w="1276"/>
        <w:gridCol w:w="992"/>
      </w:tblGrid>
      <w:tr w:rsidR="00D37696" w:rsidRPr="00D37696" w14:paraId="3611A6FF" w14:textId="77777777" w:rsidTr="006939E1">
        <w:trPr>
          <w:trHeight w:val="330"/>
        </w:trPr>
        <w:tc>
          <w:tcPr>
            <w:tcW w:w="2972" w:type="dxa"/>
            <w:hideMark/>
          </w:tcPr>
          <w:p w14:paraId="6887A670" w14:textId="77777777" w:rsidR="00D37696" w:rsidRPr="00D37696" w:rsidRDefault="00D37696" w:rsidP="00D37696">
            <w:pPr>
              <w:rPr>
                <w:rFonts w:ascii="Calibri" w:eastAsia="Times New Roman" w:hAnsi="Calibri" w:cs="Calibri"/>
                <w:szCs w:val="24"/>
                <w:lang w:eastAsia="en-CA"/>
              </w:rPr>
            </w:pPr>
            <w:r w:rsidRPr="00D37696">
              <w:rPr>
                <w:rFonts w:ascii="Calibri" w:eastAsia="Times New Roman" w:hAnsi="Calibri" w:cs="Calibri"/>
                <w:szCs w:val="24"/>
                <w:lang w:eastAsia="en-CA"/>
              </w:rPr>
              <w:t> </w:t>
            </w:r>
          </w:p>
        </w:tc>
        <w:tc>
          <w:tcPr>
            <w:tcW w:w="1134" w:type="dxa"/>
            <w:hideMark/>
          </w:tcPr>
          <w:p w14:paraId="370900B6" w14:textId="77777777" w:rsidR="00D37696" w:rsidRPr="00D37696" w:rsidRDefault="00D37696" w:rsidP="00D37696">
            <w:pPr>
              <w:rPr>
                <w:rFonts w:ascii="Calibri" w:eastAsia="Times New Roman" w:hAnsi="Calibri" w:cs="Calibri"/>
                <w:szCs w:val="24"/>
                <w:lang w:eastAsia="en-CA"/>
              </w:rPr>
            </w:pPr>
            <w:r w:rsidRPr="00D37696">
              <w:rPr>
                <w:rFonts w:ascii="Calibri" w:eastAsia="Times New Roman" w:hAnsi="Calibri" w:cs="Calibri"/>
                <w:szCs w:val="24"/>
                <w:lang w:eastAsia="en-CA"/>
              </w:rPr>
              <w:t>2015-2016 </w:t>
            </w:r>
          </w:p>
        </w:tc>
        <w:tc>
          <w:tcPr>
            <w:tcW w:w="1276" w:type="dxa"/>
            <w:hideMark/>
          </w:tcPr>
          <w:p w14:paraId="6F6D20C7" w14:textId="77777777" w:rsidR="00D37696" w:rsidRPr="00D37696" w:rsidRDefault="00D37696" w:rsidP="00D37696">
            <w:pPr>
              <w:rPr>
                <w:rFonts w:ascii="Calibri" w:eastAsia="Times New Roman" w:hAnsi="Calibri" w:cs="Calibri"/>
                <w:szCs w:val="24"/>
                <w:lang w:eastAsia="en-CA"/>
              </w:rPr>
            </w:pPr>
            <w:r w:rsidRPr="00D37696">
              <w:rPr>
                <w:rFonts w:ascii="Calibri" w:eastAsia="Times New Roman" w:hAnsi="Calibri" w:cs="Calibri"/>
                <w:szCs w:val="24"/>
                <w:lang w:eastAsia="en-CA"/>
              </w:rPr>
              <w:t>2016-2017 </w:t>
            </w:r>
          </w:p>
        </w:tc>
        <w:tc>
          <w:tcPr>
            <w:tcW w:w="1276" w:type="dxa"/>
            <w:hideMark/>
          </w:tcPr>
          <w:p w14:paraId="488F6A41" w14:textId="77777777" w:rsidR="00D37696" w:rsidRPr="00D37696" w:rsidRDefault="00D37696" w:rsidP="00D37696">
            <w:pPr>
              <w:rPr>
                <w:rFonts w:ascii="Calibri" w:eastAsia="Times New Roman" w:hAnsi="Calibri" w:cs="Calibri"/>
                <w:szCs w:val="24"/>
                <w:lang w:eastAsia="en-CA"/>
              </w:rPr>
            </w:pPr>
            <w:r w:rsidRPr="00D37696">
              <w:rPr>
                <w:rFonts w:ascii="Calibri" w:eastAsia="Times New Roman" w:hAnsi="Calibri" w:cs="Calibri"/>
                <w:szCs w:val="24"/>
                <w:lang w:eastAsia="en-CA"/>
              </w:rPr>
              <w:t>2017-2018 </w:t>
            </w:r>
          </w:p>
        </w:tc>
        <w:tc>
          <w:tcPr>
            <w:tcW w:w="1275" w:type="dxa"/>
            <w:hideMark/>
          </w:tcPr>
          <w:p w14:paraId="40EC121C" w14:textId="77777777" w:rsidR="00D37696" w:rsidRPr="00D37696" w:rsidRDefault="00D37696" w:rsidP="00D37696">
            <w:pPr>
              <w:rPr>
                <w:rFonts w:ascii="Calibri" w:eastAsia="Times New Roman" w:hAnsi="Calibri" w:cs="Calibri"/>
                <w:szCs w:val="24"/>
                <w:lang w:eastAsia="en-CA"/>
              </w:rPr>
            </w:pPr>
            <w:r w:rsidRPr="00D37696">
              <w:rPr>
                <w:rFonts w:ascii="Calibri" w:eastAsia="Times New Roman" w:hAnsi="Calibri" w:cs="Calibri"/>
                <w:szCs w:val="24"/>
                <w:lang w:eastAsia="en-CA"/>
              </w:rPr>
              <w:t>2018-2019 </w:t>
            </w:r>
          </w:p>
        </w:tc>
        <w:tc>
          <w:tcPr>
            <w:tcW w:w="1276" w:type="dxa"/>
            <w:hideMark/>
          </w:tcPr>
          <w:p w14:paraId="3B7F957D" w14:textId="77777777" w:rsidR="00D37696" w:rsidRPr="00D37696" w:rsidRDefault="00D37696" w:rsidP="00D37696">
            <w:pPr>
              <w:rPr>
                <w:rFonts w:ascii="Calibri" w:eastAsia="Times New Roman" w:hAnsi="Calibri" w:cs="Calibri"/>
                <w:szCs w:val="24"/>
                <w:lang w:eastAsia="en-CA"/>
              </w:rPr>
            </w:pPr>
            <w:r w:rsidRPr="00D37696">
              <w:rPr>
                <w:rFonts w:ascii="Calibri" w:eastAsia="Times New Roman" w:hAnsi="Calibri" w:cs="Calibri"/>
                <w:szCs w:val="24"/>
                <w:lang w:eastAsia="en-CA"/>
              </w:rPr>
              <w:t>2019-2020 </w:t>
            </w:r>
          </w:p>
        </w:tc>
        <w:tc>
          <w:tcPr>
            <w:tcW w:w="992" w:type="dxa"/>
            <w:hideMark/>
          </w:tcPr>
          <w:p w14:paraId="2896A3AB" w14:textId="77777777" w:rsidR="00D37696" w:rsidRPr="00D37696" w:rsidRDefault="00D37696" w:rsidP="00D37696">
            <w:pPr>
              <w:rPr>
                <w:rFonts w:ascii="Calibri" w:eastAsia="Times New Roman" w:hAnsi="Calibri" w:cs="Calibri"/>
                <w:szCs w:val="24"/>
                <w:lang w:eastAsia="en-CA"/>
              </w:rPr>
            </w:pPr>
            <w:r w:rsidRPr="00D37696">
              <w:rPr>
                <w:rFonts w:ascii="Calibri" w:eastAsia="Times New Roman" w:hAnsi="Calibri" w:cs="Calibri"/>
                <w:szCs w:val="24"/>
                <w:lang w:eastAsia="en-CA"/>
              </w:rPr>
              <w:t>2020-2021</w:t>
            </w:r>
          </w:p>
        </w:tc>
      </w:tr>
      <w:tr w:rsidR="00D37696" w:rsidRPr="00D37696" w14:paraId="03BD3C07" w14:textId="77777777" w:rsidTr="006939E1">
        <w:trPr>
          <w:trHeight w:val="330"/>
        </w:trPr>
        <w:tc>
          <w:tcPr>
            <w:tcW w:w="2972" w:type="dxa"/>
            <w:hideMark/>
          </w:tcPr>
          <w:p w14:paraId="5E40503D" w14:textId="77777777" w:rsidR="00D37696" w:rsidRPr="00D37696" w:rsidRDefault="00D37696" w:rsidP="00D37696">
            <w:pPr>
              <w:rPr>
                <w:rFonts w:ascii="Calibri" w:eastAsia="Times New Roman" w:hAnsi="Calibri" w:cs="Calibri"/>
                <w:szCs w:val="24"/>
                <w:lang w:eastAsia="en-CA"/>
              </w:rPr>
            </w:pPr>
            <w:r w:rsidRPr="00D37696">
              <w:rPr>
                <w:rFonts w:ascii="Calibri" w:eastAsia="Times New Roman" w:hAnsi="Calibri" w:cs="Calibri"/>
                <w:szCs w:val="24"/>
                <w:lang w:eastAsia="en-CA"/>
              </w:rPr>
              <w:t>Applications Received </w:t>
            </w:r>
          </w:p>
        </w:tc>
        <w:tc>
          <w:tcPr>
            <w:tcW w:w="1134" w:type="dxa"/>
            <w:hideMark/>
          </w:tcPr>
          <w:p w14:paraId="64531890" w14:textId="77777777" w:rsidR="00D37696" w:rsidRPr="00D37696" w:rsidRDefault="00D37696" w:rsidP="00D37696">
            <w:pPr>
              <w:rPr>
                <w:rFonts w:ascii="Calibri" w:eastAsia="Times New Roman" w:hAnsi="Calibri" w:cs="Calibri"/>
                <w:szCs w:val="24"/>
                <w:lang w:eastAsia="en-CA"/>
              </w:rPr>
            </w:pPr>
            <w:r w:rsidRPr="00D37696">
              <w:rPr>
                <w:rFonts w:ascii="Calibri" w:eastAsia="Times New Roman" w:hAnsi="Calibri" w:cs="Calibri"/>
                <w:szCs w:val="24"/>
                <w:lang w:eastAsia="en-CA"/>
              </w:rPr>
              <w:t>650 </w:t>
            </w:r>
          </w:p>
        </w:tc>
        <w:tc>
          <w:tcPr>
            <w:tcW w:w="1276" w:type="dxa"/>
            <w:hideMark/>
          </w:tcPr>
          <w:p w14:paraId="62E2356F" w14:textId="77777777" w:rsidR="00D37696" w:rsidRPr="00D37696" w:rsidRDefault="00D37696" w:rsidP="00D37696">
            <w:pPr>
              <w:rPr>
                <w:rFonts w:ascii="Calibri" w:eastAsia="Times New Roman" w:hAnsi="Calibri" w:cs="Calibri"/>
                <w:szCs w:val="24"/>
                <w:lang w:eastAsia="en-CA"/>
              </w:rPr>
            </w:pPr>
            <w:r w:rsidRPr="00D37696">
              <w:rPr>
                <w:rFonts w:ascii="Calibri" w:eastAsia="Times New Roman" w:hAnsi="Calibri" w:cs="Calibri"/>
                <w:szCs w:val="24"/>
                <w:lang w:eastAsia="en-CA"/>
              </w:rPr>
              <w:t>746 </w:t>
            </w:r>
          </w:p>
        </w:tc>
        <w:tc>
          <w:tcPr>
            <w:tcW w:w="1276" w:type="dxa"/>
            <w:hideMark/>
          </w:tcPr>
          <w:p w14:paraId="1B28DD76" w14:textId="77777777" w:rsidR="00D37696" w:rsidRPr="00D37696" w:rsidRDefault="00D37696" w:rsidP="00D37696">
            <w:pPr>
              <w:rPr>
                <w:rFonts w:ascii="Calibri" w:eastAsia="Times New Roman" w:hAnsi="Calibri" w:cs="Calibri"/>
                <w:szCs w:val="24"/>
                <w:lang w:eastAsia="en-CA"/>
              </w:rPr>
            </w:pPr>
            <w:r w:rsidRPr="00D37696">
              <w:rPr>
                <w:rFonts w:ascii="Calibri" w:eastAsia="Times New Roman" w:hAnsi="Calibri" w:cs="Calibri"/>
                <w:szCs w:val="24"/>
                <w:lang w:eastAsia="en-CA"/>
              </w:rPr>
              <w:t>760 </w:t>
            </w:r>
          </w:p>
        </w:tc>
        <w:tc>
          <w:tcPr>
            <w:tcW w:w="1275" w:type="dxa"/>
            <w:hideMark/>
          </w:tcPr>
          <w:p w14:paraId="09C4AE32" w14:textId="77777777" w:rsidR="00D37696" w:rsidRPr="00D37696" w:rsidRDefault="00D37696" w:rsidP="00D37696">
            <w:pPr>
              <w:rPr>
                <w:rFonts w:ascii="Calibri" w:eastAsia="Times New Roman" w:hAnsi="Calibri" w:cs="Calibri"/>
                <w:szCs w:val="24"/>
                <w:lang w:eastAsia="en-CA"/>
              </w:rPr>
            </w:pPr>
            <w:r w:rsidRPr="00D37696">
              <w:rPr>
                <w:rFonts w:ascii="Calibri" w:eastAsia="Times New Roman" w:hAnsi="Calibri" w:cs="Calibri"/>
                <w:szCs w:val="24"/>
                <w:lang w:eastAsia="en-CA"/>
              </w:rPr>
              <w:t>733 </w:t>
            </w:r>
          </w:p>
        </w:tc>
        <w:tc>
          <w:tcPr>
            <w:tcW w:w="1276" w:type="dxa"/>
            <w:hideMark/>
          </w:tcPr>
          <w:p w14:paraId="595B5BBA" w14:textId="77777777" w:rsidR="00D37696" w:rsidRPr="00D37696" w:rsidRDefault="00D37696" w:rsidP="00D37696">
            <w:pPr>
              <w:rPr>
                <w:rFonts w:ascii="Calibri" w:eastAsia="Times New Roman" w:hAnsi="Calibri" w:cs="Calibri"/>
                <w:szCs w:val="24"/>
                <w:lang w:eastAsia="en-CA"/>
              </w:rPr>
            </w:pPr>
            <w:r w:rsidRPr="00D37696">
              <w:rPr>
                <w:rFonts w:ascii="Calibri" w:eastAsia="Times New Roman" w:hAnsi="Calibri" w:cs="Calibri"/>
                <w:szCs w:val="24"/>
                <w:lang w:eastAsia="en-CA"/>
              </w:rPr>
              <w:t>641</w:t>
            </w:r>
          </w:p>
        </w:tc>
        <w:tc>
          <w:tcPr>
            <w:tcW w:w="992" w:type="dxa"/>
            <w:hideMark/>
          </w:tcPr>
          <w:p w14:paraId="20DAC4D1" w14:textId="77777777" w:rsidR="00D37696" w:rsidRPr="00D37696" w:rsidRDefault="00D37696" w:rsidP="00D37696">
            <w:pPr>
              <w:rPr>
                <w:rFonts w:ascii="Calibri" w:eastAsia="Times New Roman" w:hAnsi="Calibri" w:cs="Calibri"/>
                <w:szCs w:val="24"/>
                <w:lang w:eastAsia="en-CA"/>
              </w:rPr>
            </w:pPr>
            <w:r w:rsidRPr="00D37696">
              <w:rPr>
                <w:rFonts w:ascii="Calibri" w:eastAsia="Times New Roman" w:hAnsi="Calibri" w:cs="Calibri"/>
                <w:szCs w:val="24"/>
                <w:lang w:eastAsia="en-CA"/>
              </w:rPr>
              <w:t>757</w:t>
            </w:r>
          </w:p>
        </w:tc>
      </w:tr>
      <w:tr w:rsidR="00D37696" w:rsidRPr="00D37696" w14:paraId="32FD3121" w14:textId="77777777" w:rsidTr="006939E1">
        <w:trPr>
          <w:trHeight w:val="330"/>
        </w:trPr>
        <w:tc>
          <w:tcPr>
            <w:tcW w:w="2972" w:type="dxa"/>
            <w:hideMark/>
          </w:tcPr>
          <w:p w14:paraId="0DB49191" w14:textId="77777777" w:rsidR="00D37696" w:rsidRPr="00D37696" w:rsidRDefault="00D37696" w:rsidP="00D37696">
            <w:pPr>
              <w:rPr>
                <w:rFonts w:ascii="Calibri" w:eastAsia="Times New Roman" w:hAnsi="Calibri" w:cs="Calibri"/>
                <w:szCs w:val="24"/>
                <w:lang w:eastAsia="en-CA"/>
              </w:rPr>
            </w:pPr>
            <w:r w:rsidRPr="00D37696">
              <w:rPr>
                <w:rFonts w:ascii="Calibri" w:eastAsia="Times New Roman" w:hAnsi="Calibri" w:cs="Calibri"/>
                <w:szCs w:val="24"/>
                <w:lang w:eastAsia="en-CA"/>
              </w:rPr>
              <w:t>Applications Processed </w:t>
            </w:r>
          </w:p>
        </w:tc>
        <w:tc>
          <w:tcPr>
            <w:tcW w:w="1134" w:type="dxa"/>
            <w:hideMark/>
          </w:tcPr>
          <w:p w14:paraId="634123EB" w14:textId="77777777" w:rsidR="00D37696" w:rsidRPr="00D37696" w:rsidRDefault="00D37696" w:rsidP="00D37696">
            <w:pPr>
              <w:rPr>
                <w:rFonts w:ascii="Calibri" w:eastAsia="Times New Roman" w:hAnsi="Calibri" w:cs="Calibri"/>
                <w:szCs w:val="24"/>
                <w:lang w:eastAsia="en-CA"/>
              </w:rPr>
            </w:pPr>
            <w:r w:rsidRPr="00D37696">
              <w:rPr>
                <w:rFonts w:ascii="Calibri" w:eastAsia="Times New Roman" w:hAnsi="Calibri" w:cs="Calibri"/>
                <w:szCs w:val="24"/>
                <w:lang w:eastAsia="en-CA"/>
              </w:rPr>
              <w:t>519 </w:t>
            </w:r>
          </w:p>
        </w:tc>
        <w:tc>
          <w:tcPr>
            <w:tcW w:w="1276" w:type="dxa"/>
            <w:hideMark/>
          </w:tcPr>
          <w:p w14:paraId="550BC9B5" w14:textId="77777777" w:rsidR="00D37696" w:rsidRPr="00D37696" w:rsidRDefault="00D37696" w:rsidP="00D37696">
            <w:pPr>
              <w:rPr>
                <w:rFonts w:ascii="Calibri" w:eastAsia="Times New Roman" w:hAnsi="Calibri" w:cs="Calibri"/>
                <w:szCs w:val="24"/>
                <w:lang w:eastAsia="en-CA"/>
              </w:rPr>
            </w:pPr>
            <w:r w:rsidRPr="00D37696">
              <w:rPr>
                <w:rFonts w:ascii="Calibri" w:eastAsia="Times New Roman" w:hAnsi="Calibri" w:cs="Calibri"/>
                <w:szCs w:val="24"/>
                <w:lang w:eastAsia="en-CA"/>
              </w:rPr>
              <w:t>644 </w:t>
            </w:r>
          </w:p>
        </w:tc>
        <w:tc>
          <w:tcPr>
            <w:tcW w:w="1276" w:type="dxa"/>
            <w:hideMark/>
          </w:tcPr>
          <w:p w14:paraId="40460EB4" w14:textId="77777777" w:rsidR="00D37696" w:rsidRPr="00D37696" w:rsidRDefault="00D37696" w:rsidP="00D37696">
            <w:pPr>
              <w:rPr>
                <w:rFonts w:ascii="Calibri" w:eastAsia="Times New Roman" w:hAnsi="Calibri" w:cs="Calibri"/>
                <w:szCs w:val="24"/>
                <w:lang w:eastAsia="en-CA"/>
              </w:rPr>
            </w:pPr>
            <w:r w:rsidRPr="00D37696">
              <w:rPr>
                <w:rFonts w:ascii="Calibri" w:eastAsia="Times New Roman" w:hAnsi="Calibri" w:cs="Calibri"/>
                <w:szCs w:val="24"/>
                <w:lang w:eastAsia="en-CA"/>
              </w:rPr>
              <w:t>823 </w:t>
            </w:r>
          </w:p>
        </w:tc>
        <w:tc>
          <w:tcPr>
            <w:tcW w:w="1275" w:type="dxa"/>
            <w:hideMark/>
          </w:tcPr>
          <w:p w14:paraId="5AAEE316" w14:textId="77777777" w:rsidR="00D37696" w:rsidRPr="00D37696" w:rsidRDefault="00D37696" w:rsidP="00D37696">
            <w:pPr>
              <w:rPr>
                <w:rFonts w:ascii="Calibri" w:eastAsia="Times New Roman" w:hAnsi="Calibri" w:cs="Calibri"/>
                <w:szCs w:val="24"/>
                <w:lang w:eastAsia="en-CA"/>
              </w:rPr>
            </w:pPr>
            <w:r w:rsidRPr="00D37696">
              <w:rPr>
                <w:rFonts w:ascii="Calibri" w:eastAsia="Times New Roman" w:hAnsi="Calibri" w:cs="Calibri"/>
                <w:szCs w:val="24"/>
                <w:lang w:eastAsia="en-CA"/>
              </w:rPr>
              <w:t>748 </w:t>
            </w:r>
          </w:p>
        </w:tc>
        <w:tc>
          <w:tcPr>
            <w:tcW w:w="1276" w:type="dxa"/>
            <w:hideMark/>
          </w:tcPr>
          <w:p w14:paraId="024A98B7" w14:textId="77777777" w:rsidR="00D37696" w:rsidRPr="00D37696" w:rsidRDefault="00D37696" w:rsidP="00D37696">
            <w:pPr>
              <w:rPr>
                <w:rFonts w:ascii="Calibri" w:eastAsia="Times New Roman" w:hAnsi="Calibri" w:cs="Calibri"/>
                <w:szCs w:val="24"/>
                <w:lang w:eastAsia="en-CA"/>
              </w:rPr>
            </w:pPr>
            <w:r w:rsidRPr="00D37696">
              <w:rPr>
                <w:rFonts w:ascii="Calibri" w:eastAsia="Times New Roman" w:hAnsi="Calibri" w:cs="Calibri"/>
                <w:szCs w:val="24"/>
                <w:lang w:eastAsia="en-CA"/>
              </w:rPr>
              <w:t>656</w:t>
            </w:r>
          </w:p>
        </w:tc>
        <w:tc>
          <w:tcPr>
            <w:tcW w:w="992" w:type="dxa"/>
            <w:hideMark/>
          </w:tcPr>
          <w:p w14:paraId="02D1502B" w14:textId="77777777" w:rsidR="00D37696" w:rsidRPr="00D37696" w:rsidRDefault="00D37696" w:rsidP="00D37696">
            <w:pPr>
              <w:rPr>
                <w:rFonts w:ascii="Calibri" w:eastAsia="Times New Roman" w:hAnsi="Calibri" w:cs="Calibri"/>
                <w:szCs w:val="24"/>
                <w:lang w:eastAsia="en-CA"/>
              </w:rPr>
            </w:pPr>
            <w:r w:rsidRPr="00D37696">
              <w:rPr>
                <w:rFonts w:ascii="Calibri" w:eastAsia="Times New Roman" w:hAnsi="Calibri" w:cs="Calibri"/>
                <w:szCs w:val="24"/>
                <w:lang w:eastAsia="en-CA"/>
              </w:rPr>
              <w:t>534</w:t>
            </w:r>
          </w:p>
        </w:tc>
      </w:tr>
      <w:tr w:rsidR="00D37696" w:rsidRPr="00D37696" w14:paraId="659339E1" w14:textId="77777777" w:rsidTr="006939E1">
        <w:trPr>
          <w:trHeight w:val="645"/>
        </w:trPr>
        <w:tc>
          <w:tcPr>
            <w:tcW w:w="2972" w:type="dxa"/>
            <w:hideMark/>
          </w:tcPr>
          <w:p w14:paraId="36528F9B" w14:textId="77777777" w:rsidR="00D37696" w:rsidRPr="00D37696" w:rsidRDefault="00D37696" w:rsidP="00D37696">
            <w:pPr>
              <w:rPr>
                <w:rFonts w:ascii="Calibri" w:eastAsia="Times New Roman" w:hAnsi="Calibri" w:cs="Calibri"/>
                <w:szCs w:val="24"/>
                <w:lang w:eastAsia="en-CA"/>
              </w:rPr>
            </w:pPr>
            <w:r w:rsidRPr="00D37696">
              <w:rPr>
                <w:rFonts w:ascii="Calibri" w:eastAsia="Times New Roman" w:hAnsi="Calibri" w:cs="Calibri"/>
                <w:szCs w:val="24"/>
                <w:lang w:eastAsia="en-CA"/>
              </w:rPr>
              <w:t>*Active Applications (as of March 31) </w:t>
            </w:r>
          </w:p>
        </w:tc>
        <w:tc>
          <w:tcPr>
            <w:tcW w:w="1134" w:type="dxa"/>
            <w:hideMark/>
          </w:tcPr>
          <w:p w14:paraId="185C1097" w14:textId="77777777" w:rsidR="00D37696" w:rsidRPr="00D37696" w:rsidRDefault="00D37696" w:rsidP="00D37696">
            <w:pPr>
              <w:rPr>
                <w:rFonts w:ascii="Calibri" w:eastAsia="Times New Roman" w:hAnsi="Calibri" w:cs="Calibri"/>
                <w:szCs w:val="24"/>
                <w:lang w:eastAsia="en-CA"/>
              </w:rPr>
            </w:pPr>
            <w:r w:rsidRPr="00D37696">
              <w:rPr>
                <w:rFonts w:ascii="Calibri" w:eastAsia="Times New Roman" w:hAnsi="Calibri" w:cs="Calibri"/>
                <w:szCs w:val="24"/>
                <w:lang w:eastAsia="en-CA"/>
              </w:rPr>
              <w:t>521 </w:t>
            </w:r>
          </w:p>
        </w:tc>
        <w:tc>
          <w:tcPr>
            <w:tcW w:w="1276" w:type="dxa"/>
            <w:hideMark/>
          </w:tcPr>
          <w:p w14:paraId="1EF53E2F" w14:textId="77777777" w:rsidR="00D37696" w:rsidRPr="00D37696" w:rsidRDefault="00D37696" w:rsidP="00D37696">
            <w:pPr>
              <w:rPr>
                <w:rFonts w:ascii="Calibri" w:eastAsia="Times New Roman" w:hAnsi="Calibri" w:cs="Calibri"/>
                <w:szCs w:val="24"/>
                <w:lang w:eastAsia="en-CA"/>
              </w:rPr>
            </w:pPr>
            <w:r w:rsidRPr="00D37696">
              <w:rPr>
                <w:rFonts w:ascii="Calibri" w:eastAsia="Times New Roman" w:hAnsi="Calibri" w:cs="Calibri"/>
                <w:szCs w:val="24"/>
                <w:lang w:eastAsia="en-CA"/>
              </w:rPr>
              <w:t>633 </w:t>
            </w:r>
          </w:p>
        </w:tc>
        <w:tc>
          <w:tcPr>
            <w:tcW w:w="1276" w:type="dxa"/>
            <w:hideMark/>
          </w:tcPr>
          <w:p w14:paraId="415F55EF" w14:textId="77777777" w:rsidR="00D37696" w:rsidRPr="00D37696" w:rsidRDefault="00D37696" w:rsidP="00D37696">
            <w:pPr>
              <w:rPr>
                <w:rFonts w:ascii="Calibri" w:eastAsia="Times New Roman" w:hAnsi="Calibri" w:cs="Calibri"/>
                <w:szCs w:val="24"/>
                <w:lang w:eastAsia="en-CA"/>
              </w:rPr>
            </w:pPr>
            <w:r w:rsidRPr="00D37696">
              <w:rPr>
                <w:rFonts w:ascii="Calibri" w:eastAsia="Times New Roman" w:hAnsi="Calibri" w:cs="Calibri"/>
                <w:szCs w:val="24"/>
                <w:lang w:eastAsia="en-CA"/>
              </w:rPr>
              <w:t>585 </w:t>
            </w:r>
          </w:p>
        </w:tc>
        <w:tc>
          <w:tcPr>
            <w:tcW w:w="1275" w:type="dxa"/>
            <w:hideMark/>
          </w:tcPr>
          <w:p w14:paraId="017088E5" w14:textId="77777777" w:rsidR="00D37696" w:rsidRPr="00D37696" w:rsidRDefault="00D37696" w:rsidP="00D37696">
            <w:pPr>
              <w:rPr>
                <w:rFonts w:ascii="Calibri" w:eastAsia="Times New Roman" w:hAnsi="Calibri" w:cs="Calibri"/>
                <w:szCs w:val="24"/>
                <w:lang w:eastAsia="en-CA"/>
              </w:rPr>
            </w:pPr>
            <w:r w:rsidRPr="00D37696">
              <w:rPr>
                <w:rFonts w:ascii="Calibri" w:eastAsia="Times New Roman" w:hAnsi="Calibri" w:cs="Calibri"/>
                <w:szCs w:val="24"/>
                <w:lang w:eastAsia="en-CA"/>
              </w:rPr>
              <w:t>488 </w:t>
            </w:r>
          </w:p>
        </w:tc>
        <w:tc>
          <w:tcPr>
            <w:tcW w:w="1276" w:type="dxa"/>
            <w:hideMark/>
          </w:tcPr>
          <w:p w14:paraId="55406F37" w14:textId="77777777" w:rsidR="00D37696" w:rsidRPr="00D37696" w:rsidRDefault="00D37696" w:rsidP="00D37696">
            <w:pPr>
              <w:rPr>
                <w:rFonts w:ascii="Calibri" w:eastAsia="Times New Roman" w:hAnsi="Calibri" w:cs="Calibri"/>
                <w:szCs w:val="24"/>
                <w:lang w:eastAsia="en-CA"/>
              </w:rPr>
            </w:pPr>
            <w:r w:rsidRPr="00D37696">
              <w:rPr>
                <w:rFonts w:ascii="Calibri" w:eastAsia="Times New Roman" w:hAnsi="Calibri" w:cs="Calibri"/>
                <w:szCs w:val="24"/>
                <w:lang w:eastAsia="en-CA"/>
              </w:rPr>
              <w:t>445</w:t>
            </w:r>
          </w:p>
        </w:tc>
        <w:tc>
          <w:tcPr>
            <w:tcW w:w="992" w:type="dxa"/>
            <w:hideMark/>
          </w:tcPr>
          <w:p w14:paraId="23F76966" w14:textId="77777777" w:rsidR="00D37696" w:rsidRPr="00D37696" w:rsidRDefault="00D37696" w:rsidP="00D37696">
            <w:pPr>
              <w:rPr>
                <w:rFonts w:ascii="Calibri" w:eastAsia="Times New Roman" w:hAnsi="Calibri" w:cs="Calibri"/>
                <w:szCs w:val="24"/>
                <w:lang w:eastAsia="en-CA"/>
              </w:rPr>
            </w:pPr>
            <w:r w:rsidRPr="00D37696">
              <w:rPr>
                <w:rFonts w:ascii="Calibri" w:eastAsia="Times New Roman" w:hAnsi="Calibri" w:cs="Calibri"/>
                <w:szCs w:val="24"/>
                <w:lang w:eastAsia="en-CA"/>
              </w:rPr>
              <w:t>649</w:t>
            </w:r>
          </w:p>
        </w:tc>
      </w:tr>
      <w:tr w:rsidR="00D37696" w:rsidRPr="00D37696" w14:paraId="02155741" w14:textId="77777777" w:rsidTr="006939E1">
        <w:trPr>
          <w:trHeight w:val="330"/>
        </w:trPr>
        <w:tc>
          <w:tcPr>
            <w:tcW w:w="2972" w:type="dxa"/>
            <w:hideMark/>
          </w:tcPr>
          <w:p w14:paraId="5C20660C" w14:textId="77777777" w:rsidR="00D37696" w:rsidRPr="00D37696" w:rsidRDefault="00D37696" w:rsidP="00D37696">
            <w:pPr>
              <w:rPr>
                <w:rFonts w:ascii="Calibri" w:eastAsia="Times New Roman" w:hAnsi="Calibri" w:cs="Calibri"/>
                <w:szCs w:val="24"/>
                <w:lang w:eastAsia="en-CA"/>
              </w:rPr>
            </w:pPr>
            <w:r w:rsidRPr="00D37696">
              <w:rPr>
                <w:rFonts w:ascii="Calibri" w:eastAsia="Times New Roman" w:hAnsi="Calibri" w:cs="Calibri"/>
                <w:szCs w:val="24"/>
                <w:lang w:eastAsia="en-CA"/>
              </w:rPr>
              <w:t>**Backlog +/- (as of March 31) </w:t>
            </w:r>
          </w:p>
        </w:tc>
        <w:tc>
          <w:tcPr>
            <w:tcW w:w="1134" w:type="dxa"/>
            <w:hideMark/>
          </w:tcPr>
          <w:p w14:paraId="61F7B71E" w14:textId="77777777" w:rsidR="00D37696" w:rsidRPr="00D37696" w:rsidRDefault="00D37696" w:rsidP="00D37696">
            <w:pPr>
              <w:rPr>
                <w:rFonts w:ascii="Calibri" w:eastAsia="Times New Roman" w:hAnsi="Calibri" w:cs="Calibri"/>
                <w:szCs w:val="24"/>
                <w:lang w:eastAsia="en-CA"/>
              </w:rPr>
            </w:pPr>
            <w:r w:rsidRPr="00D37696">
              <w:rPr>
                <w:rFonts w:ascii="Calibri" w:eastAsia="Times New Roman" w:hAnsi="Calibri" w:cs="Calibri"/>
                <w:szCs w:val="24"/>
                <w:lang w:eastAsia="en-CA"/>
              </w:rPr>
              <w:t>131 </w:t>
            </w:r>
          </w:p>
        </w:tc>
        <w:tc>
          <w:tcPr>
            <w:tcW w:w="1276" w:type="dxa"/>
            <w:hideMark/>
          </w:tcPr>
          <w:p w14:paraId="7738F527" w14:textId="77777777" w:rsidR="00D37696" w:rsidRPr="00D37696" w:rsidRDefault="00D37696" w:rsidP="00D37696">
            <w:pPr>
              <w:rPr>
                <w:rFonts w:ascii="Calibri" w:eastAsia="Times New Roman" w:hAnsi="Calibri" w:cs="Calibri"/>
                <w:szCs w:val="24"/>
                <w:lang w:eastAsia="en-CA"/>
              </w:rPr>
            </w:pPr>
            <w:r w:rsidRPr="00D37696">
              <w:rPr>
                <w:rFonts w:ascii="Calibri" w:eastAsia="Times New Roman" w:hAnsi="Calibri" w:cs="Calibri"/>
                <w:szCs w:val="24"/>
                <w:lang w:eastAsia="en-CA"/>
              </w:rPr>
              <w:t>102 </w:t>
            </w:r>
          </w:p>
        </w:tc>
        <w:tc>
          <w:tcPr>
            <w:tcW w:w="1276" w:type="dxa"/>
            <w:hideMark/>
          </w:tcPr>
          <w:p w14:paraId="5F21D1A7" w14:textId="77777777" w:rsidR="00D37696" w:rsidRPr="00D37696" w:rsidRDefault="00D37696" w:rsidP="00D37696">
            <w:pPr>
              <w:rPr>
                <w:rFonts w:ascii="Calibri" w:eastAsia="Times New Roman" w:hAnsi="Calibri" w:cs="Calibri"/>
                <w:szCs w:val="24"/>
                <w:lang w:eastAsia="en-CA"/>
              </w:rPr>
            </w:pPr>
            <w:r w:rsidRPr="00D37696">
              <w:rPr>
                <w:rFonts w:ascii="Calibri" w:eastAsia="Times New Roman" w:hAnsi="Calibri" w:cs="Calibri"/>
                <w:szCs w:val="24"/>
                <w:lang w:eastAsia="en-CA"/>
              </w:rPr>
              <w:t>-63</w:t>
            </w:r>
          </w:p>
        </w:tc>
        <w:tc>
          <w:tcPr>
            <w:tcW w:w="1275" w:type="dxa"/>
            <w:hideMark/>
          </w:tcPr>
          <w:p w14:paraId="2F74D081" w14:textId="77777777" w:rsidR="00D37696" w:rsidRPr="00D37696" w:rsidRDefault="00D37696" w:rsidP="00D37696">
            <w:pPr>
              <w:rPr>
                <w:rFonts w:ascii="Calibri" w:eastAsia="Times New Roman" w:hAnsi="Calibri" w:cs="Calibri"/>
                <w:szCs w:val="24"/>
                <w:lang w:eastAsia="en-CA"/>
              </w:rPr>
            </w:pPr>
            <w:r w:rsidRPr="00D37696">
              <w:rPr>
                <w:rFonts w:ascii="Calibri" w:eastAsia="Times New Roman" w:hAnsi="Calibri" w:cs="Calibri"/>
                <w:szCs w:val="24"/>
                <w:lang w:eastAsia="en-CA"/>
              </w:rPr>
              <w:t>-15</w:t>
            </w:r>
          </w:p>
        </w:tc>
        <w:tc>
          <w:tcPr>
            <w:tcW w:w="1276" w:type="dxa"/>
            <w:hideMark/>
          </w:tcPr>
          <w:p w14:paraId="2F6FC0BA" w14:textId="77777777" w:rsidR="00D37696" w:rsidRPr="00D37696" w:rsidRDefault="00D37696" w:rsidP="00D37696">
            <w:pPr>
              <w:rPr>
                <w:rFonts w:ascii="Calibri" w:eastAsia="Times New Roman" w:hAnsi="Calibri" w:cs="Calibri"/>
                <w:szCs w:val="24"/>
                <w:lang w:eastAsia="en-CA"/>
              </w:rPr>
            </w:pPr>
            <w:r w:rsidRPr="00D37696">
              <w:rPr>
                <w:rFonts w:ascii="Calibri" w:eastAsia="Times New Roman" w:hAnsi="Calibri" w:cs="Calibri"/>
                <w:szCs w:val="24"/>
                <w:lang w:eastAsia="en-CA"/>
              </w:rPr>
              <w:t>-15</w:t>
            </w:r>
          </w:p>
        </w:tc>
        <w:tc>
          <w:tcPr>
            <w:tcW w:w="992" w:type="dxa"/>
            <w:hideMark/>
          </w:tcPr>
          <w:p w14:paraId="6D416D91" w14:textId="77777777" w:rsidR="00D37696" w:rsidRPr="00D37696" w:rsidRDefault="00D37696" w:rsidP="00D37696">
            <w:pPr>
              <w:rPr>
                <w:rFonts w:ascii="Calibri" w:eastAsia="Times New Roman" w:hAnsi="Calibri" w:cs="Calibri"/>
                <w:szCs w:val="24"/>
                <w:lang w:eastAsia="en-CA"/>
              </w:rPr>
            </w:pPr>
            <w:r w:rsidRPr="00D37696">
              <w:rPr>
                <w:rFonts w:ascii="Calibri" w:eastAsia="Times New Roman" w:hAnsi="Calibri" w:cs="Calibri"/>
                <w:szCs w:val="24"/>
                <w:lang w:eastAsia="en-CA"/>
              </w:rPr>
              <w:t>223</w:t>
            </w:r>
          </w:p>
        </w:tc>
      </w:tr>
      <w:tr w:rsidR="00D37696" w:rsidRPr="00D37696" w14:paraId="358B3F91" w14:textId="77777777" w:rsidTr="006939E1">
        <w:trPr>
          <w:trHeight w:val="330"/>
        </w:trPr>
        <w:tc>
          <w:tcPr>
            <w:tcW w:w="2972" w:type="dxa"/>
            <w:hideMark/>
          </w:tcPr>
          <w:p w14:paraId="07C10A98" w14:textId="77777777" w:rsidR="00D37696" w:rsidRPr="00D37696" w:rsidRDefault="00D37696" w:rsidP="00D37696">
            <w:pPr>
              <w:rPr>
                <w:rFonts w:ascii="Calibri" w:eastAsia="Times New Roman" w:hAnsi="Calibri" w:cs="Calibri"/>
                <w:szCs w:val="24"/>
                <w:lang w:eastAsia="en-CA"/>
              </w:rPr>
            </w:pPr>
            <w:r w:rsidRPr="00D37696">
              <w:rPr>
                <w:rFonts w:ascii="Calibri" w:eastAsia="Times New Roman" w:hAnsi="Calibri" w:cs="Calibri"/>
                <w:szCs w:val="24"/>
                <w:lang w:eastAsia="en-CA"/>
              </w:rPr>
              <w:t>Average Processing Time (weeks) </w:t>
            </w:r>
          </w:p>
        </w:tc>
        <w:tc>
          <w:tcPr>
            <w:tcW w:w="1134" w:type="dxa"/>
            <w:hideMark/>
          </w:tcPr>
          <w:p w14:paraId="13C0229F" w14:textId="77777777" w:rsidR="00D37696" w:rsidRPr="00D37696" w:rsidRDefault="00D37696" w:rsidP="00D37696">
            <w:pPr>
              <w:rPr>
                <w:rFonts w:ascii="Calibri" w:eastAsia="Times New Roman" w:hAnsi="Calibri" w:cs="Calibri"/>
                <w:szCs w:val="24"/>
                <w:lang w:eastAsia="en-CA"/>
              </w:rPr>
            </w:pPr>
            <w:r w:rsidRPr="00D37696">
              <w:rPr>
                <w:rFonts w:ascii="Calibri" w:eastAsia="Times New Roman" w:hAnsi="Calibri" w:cs="Calibri"/>
                <w:szCs w:val="24"/>
                <w:lang w:eastAsia="en-CA"/>
              </w:rPr>
              <w:t>21</w:t>
            </w:r>
          </w:p>
        </w:tc>
        <w:tc>
          <w:tcPr>
            <w:tcW w:w="1276" w:type="dxa"/>
            <w:hideMark/>
          </w:tcPr>
          <w:p w14:paraId="4CFCD71D" w14:textId="77777777" w:rsidR="00D37696" w:rsidRPr="00D37696" w:rsidRDefault="00D37696" w:rsidP="00D37696">
            <w:pPr>
              <w:rPr>
                <w:rFonts w:ascii="Calibri" w:eastAsia="Times New Roman" w:hAnsi="Calibri" w:cs="Calibri"/>
                <w:szCs w:val="24"/>
                <w:lang w:eastAsia="en-CA"/>
              </w:rPr>
            </w:pPr>
            <w:r w:rsidRPr="00D37696">
              <w:rPr>
                <w:rFonts w:ascii="Calibri" w:eastAsia="Times New Roman" w:hAnsi="Calibri" w:cs="Calibri"/>
                <w:szCs w:val="24"/>
                <w:lang w:eastAsia="en-CA"/>
              </w:rPr>
              <w:t>24</w:t>
            </w:r>
          </w:p>
        </w:tc>
        <w:tc>
          <w:tcPr>
            <w:tcW w:w="1276" w:type="dxa"/>
            <w:hideMark/>
          </w:tcPr>
          <w:p w14:paraId="1AD54852" w14:textId="77777777" w:rsidR="00D37696" w:rsidRPr="00D37696" w:rsidRDefault="00D37696" w:rsidP="00D37696">
            <w:pPr>
              <w:rPr>
                <w:rFonts w:ascii="Calibri" w:eastAsia="Times New Roman" w:hAnsi="Calibri" w:cs="Calibri"/>
                <w:szCs w:val="24"/>
                <w:lang w:eastAsia="en-CA"/>
              </w:rPr>
            </w:pPr>
            <w:r w:rsidRPr="00D37696">
              <w:rPr>
                <w:rFonts w:ascii="Calibri" w:eastAsia="Times New Roman" w:hAnsi="Calibri" w:cs="Calibri"/>
                <w:szCs w:val="24"/>
                <w:lang w:eastAsia="en-CA"/>
              </w:rPr>
              <w:t>29</w:t>
            </w:r>
          </w:p>
        </w:tc>
        <w:tc>
          <w:tcPr>
            <w:tcW w:w="1275" w:type="dxa"/>
            <w:hideMark/>
          </w:tcPr>
          <w:p w14:paraId="0344263E" w14:textId="77777777" w:rsidR="00D37696" w:rsidRPr="00D37696" w:rsidRDefault="00D37696" w:rsidP="00D37696">
            <w:pPr>
              <w:rPr>
                <w:rFonts w:ascii="Calibri" w:eastAsia="Times New Roman" w:hAnsi="Calibri" w:cs="Calibri"/>
                <w:szCs w:val="24"/>
                <w:lang w:eastAsia="en-CA"/>
              </w:rPr>
            </w:pPr>
            <w:r w:rsidRPr="00D37696">
              <w:rPr>
                <w:rFonts w:ascii="Calibri" w:eastAsia="Times New Roman" w:hAnsi="Calibri" w:cs="Calibri"/>
                <w:szCs w:val="24"/>
                <w:lang w:eastAsia="en-CA"/>
              </w:rPr>
              <w:t>26</w:t>
            </w:r>
          </w:p>
        </w:tc>
        <w:tc>
          <w:tcPr>
            <w:tcW w:w="1276" w:type="dxa"/>
            <w:hideMark/>
          </w:tcPr>
          <w:p w14:paraId="687BD1B1" w14:textId="77777777" w:rsidR="00D37696" w:rsidRPr="00D37696" w:rsidRDefault="00D37696" w:rsidP="00D37696">
            <w:pPr>
              <w:rPr>
                <w:rFonts w:ascii="Calibri" w:eastAsia="Times New Roman" w:hAnsi="Calibri" w:cs="Calibri"/>
                <w:szCs w:val="24"/>
                <w:lang w:eastAsia="en-CA"/>
              </w:rPr>
            </w:pPr>
            <w:r w:rsidRPr="00D37696">
              <w:rPr>
                <w:rFonts w:ascii="Calibri" w:eastAsia="Times New Roman" w:hAnsi="Calibri" w:cs="Calibri"/>
                <w:szCs w:val="24"/>
                <w:lang w:eastAsia="en-CA"/>
              </w:rPr>
              <w:t>27</w:t>
            </w:r>
          </w:p>
        </w:tc>
        <w:tc>
          <w:tcPr>
            <w:tcW w:w="992" w:type="dxa"/>
            <w:hideMark/>
          </w:tcPr>
          <w:p w14:paraId="712863D8" w14:textId="77777777" w:rsidR="00D37696" w:rsidRPr="00D37696" w:rsidRDefault="00D37696" w:rsidP="00D37696">
            <w:pPr>
              <w:rPr>
                <w:rFonts w:ascii="Calibri" w:eastAsia="Times New Roman" w:hAnsi="Calibri" w:cs="Calibri"/>
                <w:szCs w:val="24"/>
                <w:lang w:eastAsia="en-CA"/>
              </w:rPr>
            </w:pPr>
            <w:r w:rsidRPr="00D37696">
              <w:rPr>
                <w:rFonts w:ascii="Calibri" w:eastAsia="Times New Roman" w:hAnsi="Calibri" w:cs="Calibri"/>
                <w:szCs w:val="24"/>
                <w:lang w:eastAsia="en-CA"/>
              </w:rPr>
              <w:t>26</w:t>
            </w:r>
          </w:p>
        </w:tc>
      </w:tr>
      <w:tr w:rsidR="00375F19" w:rsidRPr="00D37696" w14:paraId="72AAC72C" w14:textId="77777777" w:rsidTr="0087178D">
        <w:trPr>
          <w:trHeight w:val="2860"/>
        </w:trPr>
        <w:tc>
          <w:tcPr>
            <w:tcW w:w="10201" w:type="dxa"/>
            <w:gridSpan w:val="7"/>
            <w:hideMark/>
          </w:tcPr>
          <w:p w14:paraId="3A127F4F" w14:textId="5BB4DF8A" w:rsidR="00375F19" w:rsidRPr="00D37696" w:rsidRDefault="00375F19" w:rsidP="00D37696">
            <w:pPr>
              <w:jc w:val="center"/>
              <w:rPr>
                <w:rFonts w:ascii="Calibri" w:eastAsia="Times New Roman" w:hAnsi="Calibri" w:cs="Calibri"/>
                <w:color w:val="212121"/>
                <w:szCs w:val="24"/>
                <w:lang w:eastAsia="en-CA"/>
              </w:rPr>
            </w:pPr>
            <w:r w:rsidRPr="00D37696">
              <w:rPr>
                <w:rFonts w:ascii="Calibri" w:eastAsia="Times New Roman" w:hAnsi="Calibri" w:cs="Calibri"/>
                <w:color w:val="212121"/>
                <w:szCs w:val="24"/>
                <w:lang w:eastAsia="en-CA"/>
              </w:rPr>
              <w:br/>
              <w:t xml:space="preserve">* Due to </w:t>
            </w:r>
            <w:proofErr w:type="gramStart"/>
            <w:r w:rsidRPr="00D37696">
              <w:rPr>
                <w:rFonts w:ascii="Calibri" w:eastAsia="Times New Roman" w:hAnsi="Calibri" w:cs="Calibri"/>
                <w:color w:val="212121"/>
                <w:szCs w:val="24"/>
                <w:lang w:eastAsia="en-CA"/>
              </w:rPr>
              <w:t>a number of</w:t>
            </w:r>
            <w:proofErr w:type="gramEnd"/>
            <w:r w:rsidRPr="00D37696">
              <w:rPr>
                <w:rFonts w:ascii="Calibri" w:eastAsia="Times New Roman" w:hAnsi="Calibri" w:cs="Calibri"/>
                <w:color w:val="212121"/>
                <w:szCs w:val="24"/>
                <w:lang w:eastAsia="en-CA"/>
              </w:rPr>
              <w:t xml:space="preserve"> factors, some files carry over fiscal years. The Active Applications category represents the number of total open applications at any given point in time, regardless of when they were submitted. It is accumulative and is not dependent on any given fiscal year. </w:t>
            </w:r>
            <w:r w:rsidRPr="00D37696">
              <w:rPr>
                <w:rFonts w:ascii="Calibri" w:eastAsia="Times New Roman" w:hAnsi="Calibri" w:cs="Calibri"/>
                <w:color w:val="212121"/>
                <w:szCs w:val="24"/>
                <w:lang w:eastAsia="en-CA"/>
              </w:rPr>
              <w:br/>
            </w:r>
            <w:r w:rsidRPr="00D37696">
              <w:rPr>
                <w:rFonts w:ascii="Calibri" w:eastAsia="Times New Roman" w:hAnsi="Calibri" w:cs="Calibri"/>
                <w:color w:val="212121"/>
                <w:szCs w:val="24"/>
                <w:lang w:eastAsia="en-CA"/>
              </w:rPr>
              <w:br/>
              <w:t xml:space="preserve">** The Backlog category measures whether the total number of open applications (i.e. Active Applications) is growing or shrinking. If more applications are processed than received in a given fiscal year, the backlog is decreased. Conversely, if more applications are received than are processed in a fiscal year, the backlog grows. </w:t>
            </w:r>
          </w:p>
        </w:tc>
      </w:tr>
    </w:tbl>
    <w:p w14:paraId="0545DAD7" w14:textId="77777777" w:rsidR="00A064B5" w:rsidRDefault="00A064B5" w:rsidP="00A064B5">
      <w:pPr>
        <w:pStyle w:val="NoSpacing"/>
        <w:jc w:val="both"/>
        <w:rPr>
          <w:rFonts w:cstheme="minorHAnsi"/>
        </w:rPr>
      </w:pPr>
    </w:p>
    <w:p w14:paraId="2540C06F" w14:textId="77777777" w:rsidR="006939E1" w:rsidRDefault="006939E1" w:rsidP="00C16948">
      <w:pPr>
        <w:pStyle w:val="Heading2"/>
      </w:pPr>
      <w:bookmarkStart w:id="34" w:name="_Toc74895894"/>
    </w:p>
    <w:p w14:paraId="43CEE68D" w14:textId="71B76F96" w:rsidR="00A064B5" w:rsidRPr="00C16948" w:rsidRDefault="00F51CAD" w:rsidP="00C16948">
      <w:pPr>
        <w:pStyle w:val="Heading2"/>
      </w:pPr>
      <w:r>
        <w:lastRenderedPageBreak/>
        <w:t>Recruitment and Succession Planning</w:t>
      </w:r>
      <w:bookmarkEnd w:id="34"/>
    </w:p>
    <w:p w14:paraId="20B700BA" w14:textId="77777777" w:rsidR="006939E1" w:rsidRDefault="006939E1" w:rsidP="00A064B5">
      <w:pPr>
        <w:jc w:val="both"/>
      </w:pPr>
    </w:p>
    <w:p w14:paraId="1AD8663E" w14:textId="188F7C01" w:rsidR="00A064B5" w:rsidRDefault="00A064B5" w:rsidP="006939E1">
      <w:pPr>
        <w:jc w:val="both"/>
      </w:pPr>
      <w:r>
        <w:t xml:space="preserve">Implementation of the NEC’s Operational Strategy in 2017 included several strategic actions to build internal capacity and support succession planning.  </w:t>
      </w:r>
    </w:p>
    <w:p w14:paraId="5394E709" w14:textId="77777777" w:rsidR="002C2B52" w:rsidRDefault="002C2B52" w:rsidP="006939E1">
      <w:pPr>
        <w:jc w:val="both"/>
      </w:pPr>
    </w:p>
    <w:p w14:paraId="29EB0B88" w14:textId="77777777" w:rsidR="00A064B5" w:rsidRPr="00C65268" w:rsidRDefault="00A064B5" w:rsidP="00095075">
      <w:pPr>
        <w:pStyle w:val="Heading3"/>
      </w:pPr>
      <w:bookmarkStart w:id="35" w:name="_Toc74895895"/>
      <w:r>
        <w:t>Recruitment and Staffing</w:t>
      </w:r>
      <w:bookmarkEnd w:id="35"/>
    </w:p>
    <w:p w14:paraId="6928A0E7" w14:textId="77777777" w:rsidR="00905DE7" w:rsidRDefault="00905DE7" w:rsidP="00905DE7">
      <w:pPr>
        <w:pStyle w:val="Default"/>
        <w:spacing w:line="276" w:lineRule="auto"/>
        <w:ind w:left="720"/>
      </w:pPr>
    </w:p>
    <w:p w14:paraId="3BD5C75A" w14:textId="3DA3DE18" w:rsidR="002C2B52" w:rsidRDefault="002C2B52" w:rsidP="00905DE7">
      <w:pPr>
        <w:jc w:val="both"/>
      </w:pPr>
      <w:r>
        <w:t>During this year, several significant staffing changes led to some organizational adjustment, which in turn contributed to delays in processing applications and impacted the NEC’s staffing complement.  To build that critical internal capacity, the NEC undertook important recruitment and staffing actions that included hiring to the FTE limit of 24 staff, 4 seasonal positions and 4 summer students.</w:t>
      </w:r>
    </w:p>
    <w:p w14:paraId="22D9465A" w14:textId="77777777" w:rsidR="002C2B52" w:rsidRDefault="002C2B52" w:rsidP="00905DE7">
      <w:pPr>
        <w:jc w:val="both"/>
      </w:pPr>
    </w:p>
    <w:p w14:paraId="222F2A5E" w14:textId="127038B6" w:rsidR="00A064B5" w:rsidRDefault="00A064B5" w:rsidP="006939E1">
      <w:pPr>
        <w:pStyle w:val="Heading3"/>
        <w:spacing w:line="276" w:lineRule="auto"/>
      </w:pPr>
      <w:bookmarkStart w:id="36" w:name="_Toc74895896"/>
      <w:r w:rsidRPr="00C65268">
        <w:t>Succession Planning</w:t>
      </w:r>
      <w:bookmarkEnd w:id="36"/>
    </w:p>
    <w:p w14:paraId="7DCAEA20" w14:textId="77777777" w:rsidR="002C2B52" w:rsidRDefault="002C2B52" w:rsidP="006939E1">
      <w:pPr>
        <w:pStyle w:val="NoSpacing"/>
        <w:spacing w:line="276" w:lineRule="auto"/>
        <w:jc w:val="both"/>
      </w:pPr>
    </w:p>
    <w:p w14:paraId="0679293A" w14:textId="049FB40C" w:rsidR="00A064B5" w:rsidRPr="00C65268" w:rsidRDefault="00A064B5" w:rsidP="006939E1">
      <w:pPr>
        <w:pStyle w:val="NoSpacing"/>
        <w:spacing w:line="276" w:lineRule="auto"/>
        <w:jc w:val="both"/>
      </w:pPr>
      <w:r w:rsidRPr="00C65268">
        <w:t xml:space="preserve">Succession planning is important to ensure the NEC continues to be a healthy and vibrant organization that has the human resources to effectively implement the Niagara Escarpment program. The NEC has experienced recent staff turnover due to individuals moving to positions outside of the Ontario Public Service, </w:t>
      </w:r>
      <w:r>
        <w:t xml:space="preserve">retirements of long serving staff, </w:t>
      </w:r>
      <w:r w:rsidRPr="00C65268">
        <w:t xml:space="preserve">as well as through parental leaves and individuals being placed into more senior positions.   </w:t>
      </w:r>
      <w:r>
        <w:t xml:space="preserve">The number of concurrent changes has resulted in a higher than normal number of vacant positions, temporary assignments and recruitment.  </w:t>
      </w:r>
    </w:p>
    <w:p w14:paraId="712F37B6" w14:textId="77777777" w:rsidR="00A064B5" w:rsidRPr="00C65268" w:rsidRDefault="00A064B5" w:rsidP="006939E1">
      <w:pPr>
        <w:pStyle w:val="NoSpacing"/>
        <w:spacing w:line="276" w:lineRule="auto"/>
        <w:jc w:val="both"/>
      </w:pPr>
    </w:p>
    <w:p w14:paraId="7449109D" w14:textId="77777777" w:rsidR="00E667B4" w:rsidRDefault="00A064B5" w:rsidP="006939E1">
      <w:pPr>
        <w:pStyle w:val="NoSpacing"/>
        <w:spacing w:line="276" w:lineRule="auto"/>
        <w:jc w:val="both"/>
      </w:pPr>
      <w:r w:rsidRPr="00C65268">
        <w:t xml:space="preserve">From a succession planning perspective, the NEC has significantly benefitted from having a “feeder group” of seasonal planners that have the experience and capacity to move into more senior positions.  This approach minimized disruption to service delivery through a significant period of transition in </w:t>
      </w:r>
      <w:r>
        <w:t>the previous year which continued in 2020-21</w:t>
      </w:r>
      <w:r w:rsidRPr="00C65268">
        <w:t xml:space="preserve">. The NEC’s staffing strategy has continued to result in an organization that is nimble and can more readily align its resources to emerging challenges. </w:t>
      </w:r>
      <w:r>
        <w:t xml:space="preserve"> However, the number of individuals placed in positions on an acting or fixed term basis is creating disruption and an organization in transition.  The situation will stabilize in 2021-22. </w:t>
      </w:r>
    </w:p>
    <w:p w14:paraId="0F8A4865" w14:textId="16804B19" w:rsidR="00E667B4" w:rsidRDefault="00E667B4" w:rsidP="00325FE9">
      <w:pPr>
        <w:pStyle w:val="NoSpacing"/>
        <w:jc w:val="both"/>
      </w:pPr>
    </w:p>
    <w:p w14:paraId="52CDBA66" w14:textId="3974BD5D" w:rsidR="00407FE1" w:rsidRDefault="00407FE1" w:rsidP="00325FE9">
      <w:pPr>
        <w:pStyle w:val="NoSpacing"/>
        <w:jc w:val="both"/>
      </w:pPr>
    </w:p>
    <w:p w14:paraId="4E915840" w14:textId="77777777" w:rsidR="00407FE1" w:rsidRDefault="00407FE1" w:rsidP="00325FE9">
      <w:pPr>
        <w:pStyle w:val="NoSpacing"/>
        <w:jc w:val="both"/>
      </w:pPr>
    </w:p>
    <w:p w14:paraId="4308A230" w14:textId="77777777" w:rsidR="00B8227C" w:rsidRDefault="00A064B5" w:rsidP="00325FE9">
      <w:pPr>
        <w:pStyle w:val="NoSpacing"/>
        <w:jc w:val="both"/>
        <w:rPr>
          <w:noProof/>
        </w:rPr>
      </w:pPr>
      <w:r>
        <w:t xml:space="preserve"> </w:t>
      </w:r>
      <w:r w:rsidR="005430B0" w:rsidRPr="005430B0">
        <w:rPr>
          <w:noProof/>
        </w:rPr>
        <w:t xml:space="preserve"> </w:t>
      </w:r>
    </w:p>
    <w:p w14:paraId="1ED799BF" w14:textId="77777777" w:rsidR="00B8227C" w:rsidRDefault="00B8227C" w:rsidP="00325FE9">
      <w:pPr>
        <w:pStyle w:val="NoSpacing"/>
        <w:jc w:val="both"/>
        <w:rPr>
          <w:noProof/>
        </w:rPr>
      </w:pPr>
    </w:p>
    <w:p w14:paraId="7668332D" w14:textId="519F2C84" w:rsidR="00407FE1" w:rsidRPr="00407FE1" w:rsidRDefault="00B8227C" w:rsidP="00B8227C">
      <w:pPr>
        <w:pStyle w:val="NoSpacing"/>
        <w:jc w:val="both"/>
      </w:pPr>
      <w:r>
        <w:rPr>
          <w:noProof/>
        </w:rPr>
        <w:lastRenderedPageBreak/>
        <w:drawing>
          <wp:inline distT="0" distB="0" distL="0" distR="0" wp14:anchorId="7E89238C" wp14:editId="1F6B5DFB">
            <wp:extent cx="6654088" cy="3914720"/>
            <wp:effectExtent l="0" t="0" r="0" b="0"/>
            <wp:docPr id="1" name="Picture 1" descr="Niagara Escarpment Commission Organization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iagara Escarpment Commission Organization Chart"/>
                    <pic:cNvPicPr/>
                  </pic:nvPicPr>
                  <pic:blipFill rotWithShape="1">
                    <a:blip r:embed="rId16">
                      <a:extLst>
                        <a:ext uri="{28A0092B-C50C-407E-A947-70E740481C1C}">
                          <a14:useLocalDpi xmlns:a14="http://schemas.microsoft.com/office/drawing/2010/main" val="0"/>
                        </a:ext>
                      </a:extLst>
                    </a:blip>
                    <a:srcRect l="21646" t="26734" r="16808" b="11187"/>
                    <a:stretch/>
                  </pic:blipFill>
                  <pic:spPr bwMode="auto">
                    <a:xfrm>
                      <a:off x="0" y="0"/>
                      <a:ext cx="6654088" cy="3914720"/>
                    </a:xfrm>
                    <a:prstGeom prst="rect">
                      <a:avLst/>
                    </a:prstGeom>
                    <a:ln>
                      <a:noFill/>
                    </a:ln>
                    <a:extLst>
                      <a:ext uri="{53640926-AAD7-44D8-BBD7-CCE9431645EC}">
                        <a14:shadowObscured xmlns:a14="http://schemas.microsoft.com/office/drawing/2010/main"/>
                      </a:ext>
                    </a:extLst>
                  </pic:spPr>
                </pic:pic>
              </a:graphicData>
            </a:graphic>
          </wp:inline>
        </w:drawing>
      </w:r>
      <w:bookmarkStart w:id="37" w:name="_Toc74895897"/>
    </w:p>
    <w:p w14:paraId="1A3BA7E2" w14:textId="4515A796" w:rsidR="00A064B5" w:rsidRPr="00C65268" w:rsidRDefault="00A064B5" w:rsidP="00325FE9">
      <w:pPr>
        <w:pStyle w:val="Heading3"/>
      </w:pPr>
      <w:r w:rsidRPr="00C65268">
        <w:t>Staff Training</w:t>
      </w:r>
      <w:bookmarkEnd w:id="37"/>
      <w:r w:rsidRPr="00C65268">
        <w:t xml:space="preserve"> </w:t>
      </w:r>
    </w:p>
    <w:p w14:paraId="7DA45227" w14:textId="77777777" w:rsidR="00A064B5" w:rsidRDefault="00A064B5" w:rsidP="00A064B5">
      <w:pPr>
        <w:pStyle w:val="NoSpacing"/>
        <w:jc w:val="both"/>
        <w:rPr>
          <w:rFonts w:cstheme="minorHAnsi"/>
        </w:rPr>
      </w:pPr>
    </w:p>
    <w:p w14:paraId="23F0A632" w14:textId="77777777" w:rsidR="00A064B5" w:rsidRDefault="00A064B5" w:rsidP="007C04BC">
      <w:pPr>
        <w:pStyle w:val="NoSpacing"/>
        <w:spacing w:line="276" w:lineRule="auto"/>
        <w:jc w:val="both"/>
        <w:rPr>
          <w:rFonts w:cstheme="minorHAnsi"/>
        </w:rPr>
      </w:pPr>
      <w:r w:rsidRPr="00C65268">
        <w:rPr>
          <w:rFonts w:cstheme="minorHAnsi"/>
        </w:rPr>
        <w:t>Land</w:t>
      </w:r>
      <w:r>
        <w:rPr>
          <w:rFonts w:cstheme="minorHAnsi"/>
        </w:rPr>
        <w:t xml:space="preserve"> </w:t>
      </w:r>
      <w:r w:rsidRPr="00C65268">
        <w:rPr>
          <w:rFonts w:cstheme="minorHAnsi"/>
        </w:rPr>
        <w:t xml:space="preserve">use planning is an ever-changing and highly complex discipline. </w:t>
      </w:r>
      <w:r>
        <w:rPr>
          <w:rFonts w:cstheme="minorHAnsi"/>
        </w:rPr>
        <w:t xml:space="preserve">In Since </w:t>
      </w:r>
      <w:r w:rsidRPr="00C65268">
        <w:rPr>
          <w:rFonts w:cstheme="minorHAnsi"/>
        </w:rPr>
        <w:t>2017-18, the NEC</w:t>
      </w:r>
      <w:r>
        <w:rPr>
          <w:rFonts w:cstheme="minorHAnsi"/>
        </w:rPr>
        <w:t xml:space="preserve"> had</w:t>
      </w:r>
      <w:r w:rsidRPr="00C65268">
        <w:rPr>
          <w:rFonts w:cstheme="minorHAnsi"/>
        </w:rPr>
        <w:t xml:space="preserve"> initiated a Learning Strategy to </w:t>
      </w:r>
      <w:r>
        <w:rPr>
          <w:rFonts w:cstheme="minorHAnsi"/>
        </w:rPr>
        <w:t>support</w:t>
      </w:r>
      <w:r w:rsidRPr="00C65268">
        <w:rPr>
          <w:rFonts w:cstheme="minorHAnsi"/>
        </w:rPr>
        <w:t xml:space="preserve"> staff ke</w:t>
      </w:r>
      <w:r>
        <w:rPr>
          <w:rFonts w:cstheme="minorHAnsi"/>
        </w:rPr>
        <w:t>pt</w:t>
      </w:r>
      <w:r w:rsidRPr="00C65268">
        <w:rPr>
          <w:rFonts w:cstheme="minorHAnsi"/>
        </w:rPr>
        <w:t xml:space="preserve"> pace with </w:t>
      </w:r>
      <w:r>
        <w:rPr>
          <w:rFonts w:cstheme="minorHAnsi"/>
        </w:rPr>
        <w:t>changes in this field and</w:t>
      </w:r>
      <w:r w:rsidRPr="00C65268">
        <w:rPr>
          <w:rFonts w:cstheme="minorHAnsi"/>
        </w:rPr>
        <w:t xml:space="preserve"> have the skills and knowledge they </w:t>
      </w:r>
      <w:r>
        <w:rPr>
          <w:rFonts w:cstheme="minorHAnsi"/>
        </w:rPr>
        <w:t>require</w:t>
      </w:r>
      <w:r w:rsidRPr="00C65268">
        <w:rPr>
          <w:rFonts w:cstheme="minorHAnsi"/>
        </w:rPr>
        <w:t xml:space="preserve"> to do their jobs effectively, and that learning opportunities are provided strategically and equitably across the NEC. </w:t>
      </w:r>
    </w:p>
    <w:p w14:paraId="622481BC" w14:textId="77777777" w:rsidR="00A064B5" w:rsidRDefault="00A064B5" w:rsidP="007C04BC">
      <w:pPr>
        <w:pStyle w:val="NoSpacing"/>
        <w:spacing w:line="276" w:lineRule="auto"/>
        <w:jc w:val="both"/>
        <w:rPr>
          <w:rFonts w:cstheme="minorHAnsi"/>
        </w:rPr>
      </w:pPr>
    </w:p>
    <w:p w14:paraId="2D9204A1" w14:textId="77777777" w:rsidR="00A064B5" w:rsidRPr="00C65268" w:rsidRDefault="00A064B5" w:rsidP="007C04BC">
      <w:pPr>
        <w:pStyle w:val="NoSpacing"/>
        <w:spacing w:line="276" w:lineRule="auto"/>
        <w:jc w:val="both"/>
        <w:rPr>
          <w:rFonts w:cstheme="minorHAnsi"/>
        </w:rPr>
      </w:pPr>
      <w:r>
        <w:rPr>
          <w:rFonts w:cstheme="minorHAnsi"/>
        </w:rPr>
        <w:t>Previous fiscal constraints followed by the COVID-19 pandemic significantly decreased the staff training options available. However, staff were able to attend online training sessions.</w:t>
      </w:r>
    </w:p>
    <w:p w14:paraId="55C86D94" w14:textId="77777777" w:rsidR="00A064B5" w:rsidRPr="00C65268" w:rsidRDefault="00A064B5" w:rsidP="007C04BC">
      <w:pPr>
        <w:pStyle w:val="NoSpacing"/>
        <w:spacing w:line="276" w:lineRule="auto"/>
        <w:jc w:val="both"/>
        <w:rPr>
          <w:rFonts w:cstheme="minorHAnsi"/>
        </w:rPr>
      </w:pPr>
    </w:p>
    <w:p w14:paraId="05209F7C" w14:textId="77777777" w:rsidR="00A064B5" w:rsidRDefault="00A064B5" w:rsidP="007C04BC">
      <w:pPr>
        <w:pStyle w:val="NoSpacing"/>
        <w:spacing w:line="276" w:lineRule="auto"/>
        <w:jc w:val="both"/>
        <w:rPr>
          <w:rFonts w:cstheme="minorHAnsi"/>
        </w:rPr>
      </w:pPr>
      <w:r w:rsidRPr="00C65268">
        <w:rPr>
          <w:rFonts w:cstheme="minorHAnsi"/>
        </w:rPr>
        <w:t>NEC staff participated in the following</w:t>
      </w:r>
      <w:r>
        <w:rPr>
          <w:rFonts w:cstheme="minorHAnsi"/>
        </w:rPr>
        <w:t xml:space="preserve"> online</w:t>
      </w:r>
      <w:r w:rsidRPr="00C65268">
        <w:rPr>
          <w:rFonts w:cstheme="minorHAnsi"/>
        </w:rPr>
        <w:t xml:space="preserve"> learning events </w:t>
      </w:r>
      <w:r>
        <w:rPr>
          <w:rFonts w:cstheme="minorHAnsi"/>
        </w:rPr>
        <w:t xml:space="preserve">during fiscal </w:t>
      </w:r>
      <w:r w:rsidRPr="00C65268">
        <w:rPr>
          <w:rFonts w:cstheme="minorHAnsi"/>
        </w:rPr>
        <w:t>20</w:t>
      </w:r>
      <w:r>
        <w:rPr>
          <w:rFonts w:cstheme="minorHAnsi"/>
        </w:rPr>
        <w:t>20</w:t>
      </w:r>
      <w:r w:rsidRPr="00C65268">
        <w:rPr>
          <w:rFonts w:cstheme="minorHAnsi"/>
        </w:rPr>
        <w:t>-</w:t>
      </w:r>
      <w:r>
        <w:rPr>
          <w:rFonts w:cstheme="minorHAnsi"/>
        </w:rPr>
        <w:t>21</w:t>
      </w:r>
      <w:r w:rsidRPr="00C65268">
        <w:rPr>
          <w:rFonts w:cstheme="minorHAnsi"/>
        </w:rPr>
        <w:t xml:space="preserve"> (in brackets is the organization that presented the training sessions): </w:t>
      </w:r>
    </w:p>
    <w:p w14:paraId="4F930DEB" w14:textId="77777777" w:rsidR="00A064B5" w:rsidRPr="00CD6904" w:rsidRDefault="00A064B5" w:rsidP="007C04BC">
      <w:pPr>
        <w:pStyle w:val="NoSpacing"/>
        <w:numPr>
          <w:ilvl w:val="0"/>
          <w:numId w:val="7"/>
        </w:numPr>
        <w:tabs>
          <w:tab w:val="left" w:pos="567"/>
        </w:tabs>
        <w:spacing w:line="276" w:lineRule="auto"/>
        <w:ind w:left="567" w:hanging="283"/>
        <w:jc w:val="both"/>
        <w:rPr>
          <w:rFonts w:cstheme="minorHAnsi"/>
        </w:rPr>
      </w:pPr>
      <w:r>
        <w:rPr>
          <w:rFonts w:cstheme="minorHAnsi"/>
        </w:rPr>
        <w:t>Indigenous Cultural Competency Training (</w:t>
      </w:r>
      <w:r w:rsidRPr="00421296">
        <w:rPr>
          <w:rFonts w:cstheme="minorHAnsi"/>
        </w:rPr>
        <w:t>OPS/</w:t>
      </w:r>
      <w:proofErr w:type="spellStart"/>
      <w:r w:rsidRPr="00421296">
        <w:rPr>
          <w:rFonts w:cstheme="minorHAnsi"/>
        </w:rPr>
        <w:t>San’yas</w:t>
      </w:r>
      <w:proofErr w:type="spellEnd"/>
      <w:r w:rsidRPr="00421296">
        <w:rPr>
          <w:rFonts w:cstheme="minorHAnsi"/>
        </w:rPr>
        <w:t xml:space="preserve"> Indigenous Cultural Safety Training Program</w:t>
      </w:r>
    </w:p>
    <w:p w14:paraId="5789E136" w14:textId="77777777" w:rsidR="00A064B5" w:rsidRDefault="00A064B5" w:rsidP="007C04BC">
      <w:pPr>
        <w:pStyle w:val="NoSpacing"/>
        <w:numPr>
          <w:ilvl w:val="0"/>
          <w:numId w:val="7"/>
        </w:numPr>
        <w:tabs>
          <w:tab w:val="left" w:pos="567"/>
        </w:tabs>
        <w:spacing w:line="276" w:lineRule="auto"/>
        <w:ind w:left="567" w:hanging="283"/>
        <w:jc w:val="both"/>
        <w:rPr>
          <w:rFonts w:cstheme="minorHAnsi"/>
        </w:rPr>
      </w:pPr>
      <w:r>
        <w:rPr>
          <w:rFonts w:cstheme="minorHAnsi"/>
        </w:rPr>
        <w:t>Farmland Protection (Ontario Farmland Trust Webinar)</w:t>
      </w:r>
    </w:p>
    <w:p w14:paraId="5F91C396" w14:textId="77777777" w:rsidR="00A064B5" w:rsidRDefault="00A064B5" w:rsidP="007C04BC">
      <w:pPr>
        <w:pStyle w:val="NoSpacing"/>
        <w:numPr>
          <w:ilvl w:val="0"/>
          <w:numId w:val="7"/>
        </w:numPr>
        <w:tabs>
          <w:tab w:val="left" w:pos="567"/>
        </w:tabs>
        <w:spacing w:line="276" w:lineRule="auto"/>
        <w:ind w:left="567" w:hanging="283"/>
        <w:jc w:val="both"/>
        <w:rPr>
          <w:rFonts w:cstheme="minorHAnsi"/>
        </w:rPr>
      </w:pPr>
      <w:r>
        <w:rPr>
          <w:rFonts w:cstheme="minorHAnsi"/>
        </w:rPr>
        <w:t>Land-Use Planning in Niagara (hosted by Brock University)</w:t>
      </w:r>
    </w:p>
    <w:p w14:paraId="76092BB4" w14:textId="5E28BE98" w:rsidR="00A064B5" w:rsidRDefault="00A064B5" w:rsidP="007C04BC">
      <w:pPr>
        <w:pStyle w:val="NoSpacing"/>
        <w:numPr>
          <w:ilvl w:val="0"/>
          <w:numId w:val="7"/>
        </w:numPr>
        <w:tabs>
          <w:tab w:val="left" w:pos="567"/>
          <w:tab w:val="left" w:pos="993"/>
        </w:tabs>
        <w:spacing w:line="276" w:lineRule="auto"/>
        <w:ind w:left="567" w:hanging="283"/>
        <w:jc w:val="both"/>
        <w:rPr>
          <w:rFonts w:cstheme="minorHAnsi"/>
        </w:rPr>
      </w:pPr>
      <w:r>
        <w:rPr>
          <w:rFonts w:cstheme="minorHAnsi"/>
        </w:rPr>
        <w:t>Black Bear Encounter Safety Training (</w:t>
      </w:r>
      <w:r w:rsidR="00673302">
        <w:rPr>
          <w:rFonts w:cstheme="minorHAnsi"/>
        </w:rPr>
        <w:t>NDMNRF</w:t>
      </w:r>
      <w:r>
        <w:rPr>
          <w:rFonts w:cstheme="minorHAnsi"/>
        </w:rPr>
        <w:t>)</w:t>
      </w:r>
    </w:p>
    <w:p w14:paraId="58DE8CE7" w14:textId="77777777" w:rsidR="00A064B5" w:rsidRDefault="00A064B5" w:rsidP="007C04BC">
      <w:pPr>
        <w:pStyle w:val="NoSpacing"/>
        <w:numPr>
          <w:ilvl w:val="0"/>
          <w:numId w:val="7"/>
        </w:numPr>
        <w:tabs>
          <w:tab w:val="left" w:pos="567"/>
          <w:tab w:val="left" w:pos="993"/>
        </w:tabs>
        <w:spacing w:line="276" w:lineRule="auto"/>
        <w:ind w:left="567" w:hanging="283"/>
        <w:jc w:val="both"/>
        <w:rPr>
          <w:rFonts w:cstheme="minorHAnsi"/>
        </w:rPr>
      </w:pPr>
      <w:r>
        <w:rPr>
          <w:rFonts w:cstheme="minorHAnsi"/>
        </w:rPr>
        <w:t xml:space="preserve">Weir </w:t>
      </w:r>
      <w:proofErr w:type="spellStart"/>
      <w:r>
        <w:rPr>
          <w:rFonts w:cstheme="minorHAnsi"/>
        </w:rPr>
        <w:t>Foulds</w:t>
      </w:r>
      <w:proofErr w:type="spellEnd"/>
      <w:r>
        <w:rPr>
          <w:rFonts w:cstheme="minorHAnsi"/>
        </w:rPr>
        <w:t xml:space="preserve"> Annual Seminar – Update on Planning Framework (OPPI)</w:t>
      </w:r>
    </w:p>
    <w:p w14:paraId="6CD06523" w14:textId="77777777" w:rsidR="00A064B5" w:rsidRDefault="00A064B5" w:rsidP="007C04BC">
      <w:pPr>
        <w:pStyle w:val="NoSpacing"/>
        <w:numPr>
          <w:ilvl w:val="0"/>
          <w:numId w:val="7"/>
        </w:numPr>
        <w:tabs>
          <w:tab w:val="left" w:pos="567"/>
          <w:tab w:val="left" w:pos="993"/>
        </w:tabs>
        <w:spacing w:line="276" w:lineRule="auto"/>
        <w:ind w:left="567" w:hanging="283"/>
        <w:jc w:val="both"/>
        <w:rPr>
          <w:rFonts w:cstheme="minorHAnsi"/>
        </w:rPr>
      </w:pPr>
      <w:proofErr w:type="spellStart"/>
      <w:r>
        <w:rPr>
          <w:rFonts w:cstheme="minorHAnsi"/>
        </w:rPr>
        <w:t>Latornell</w:t>
      </w:r>
      <w:proofErr w:type="spellEnd"/>
      <w:r>
        <w:rPr>
          <w:rFonts w:cstheme="minorHAnsi"/>
        </w:rPr>
        <w:t xml:space="preserve"> Conservation Symposium – Foundation and Evolution of Conservation Authorities (</w:t>
      </w:r>
      <w:proofErr w:type="spellStart"/>
      <w:r>
        <w:rPr>
          <w:rFonts w:cstheme="minorHAnsi"/>
        </w:rPr>
        <w:t>Latornell</w:t>
      </w:r>
      <w:proofErr w:type="spellEnd"/>
      <w:r>
        <w:rPr>
          <w:rFonts w:cstheme="minorHAnsi"/>
        </w:rPr>
        <w:t>)</w:t>
      </w:r>
    </w:p>
    <w:p w14:paraId="11C4ED26" w14:textId="77777777" w:rsidR="00A064B5" w:rsidRDefault="00A064B5" w:rsidP="007C04BC">
      <w:pPr>
        <w:pStyle w:val="NoSpacing"/>
        <w:numPr>
          <w:ilvl w:val="0"/>
          <w:numId w:val="7"/>
        </w:numPr>
        <w:tabs>
          <w:tab w:val="left" w:pos="567"/>
          <w:tab w:val="left" w:pos="993"/>
        </w:tabs>
        <w:spacing w:line="276" w:lineRule="auto"/>
        <w:ind w:left="567" w:hanging="283"/>
        <w:jc w:val="both"/>
        <w:rPr>
          <w:rFonts w:cstheme="minorHAnsi"/>
        </w:rPr>
      </w:pPr>
      <w:r>
        <w:rPr>
          <w:rFonts w:cstheme="minorHAnsi"/>
        </w:rPr>
        <w:lastRenderedPageBreak/>
        <w:t>MDS Fundamentals and Advanced Training (OMAFRA)</w:t>
      </w:r>
    </w:p>
    <w:p w14:paraId="4ACA80FA" w14:textId="5C24C03B" w:rsidR="00A064B5" w:rsidRDefault="00A064B5" w:rsidP="007C04BC">
      <w:pPr>
        <w:pStyle w:val="NoSpacing"/>
        <w:numPr>
          <w:ilvl w:val="0"/>
          <w:numId w:val="7"/>
        </w:numPr>
        <w:tabs>
          <w:tab w:val="left" w:pos="567"/>
          <w:tab w:val="left" w:pos="993"/>
        </w:tabs>
        <w:spacing w:line="276" w:lineRule="auto"/>
        <w:ind w:left="567" w:hanging="283"/>
        <w:jc w:val="both"/>
        <w:rPr>
          <w:rFonts w:cstheme="minorHAnsi"/>
        </w:rPr>
      </w:pPr>
      <w:r>
        <w:rPr>
          <w:rFonts w:cstheme="minorHAnsi"/>
        </w:rPr>
        <w:t>Statement of Environmental Values Training (</w:t>
      </w:r>
      <w:r w:rsidR="00673302">
        <w:rPr>
          <w:rFonts w:cstheme="minorHAnsi"/>
        </w:rPr>
        <w:t>NDMNRF</w:t>
      </w:r>
      <w:r>
        <w:rPr>
          <w:rFonts w:cstheme="minorHAnsi"/>
        </w:rPr>
        <w:t>)</w:t>
      </w:r>
    </w:p>
    <w:p w14:paraId="55C2DD2C" w14:textId="08EF90AC" w:rsidR="00A064B5" w:rsidRDefault="00A064B5" w:rsidP="007C04BC">
      <w:pPr>
        <w:pStyle w:val="NoSpacing"/>
        <w:numPr>
          <w:ilvl w:val="0"/>
          <w:numId w:val="7"/>
        </w:numPr>
        <w:tabs>
          <w:tab w:val="left" w:pos="567"/>
          <w:tab w:val="left" w:pos="993"/>
        </w:tabs>
        <w:spacing w:line="276" w:lineRule="auto"/>
        <w:ind w:left="567" w:hanging="283"/>
        <w:jc w:val="both"/>
        <w:rPr>
          <w:rFonts w:cstheme="minorHAnsi"/>
        </w:rPr>
      </w:pPr>
      <w:r>
        <w:rPr>
          <w:rFonts w:cstheme="minorHAnsi"/>
        </w:rPr>
        <w:t>Environmental Assessments Modernization (</w:t>
      </w:r>
      <w:r w:rsidR="00673302">
        <w:rPr>
          <w:rFonts w:cstheme="minorHAnsi"/>
        </w:rPr>
        <w:t>NDMNRF</w:t>
      </w:r>
      <w:r>
        <w:rPr>
          <w:rFonts w:cstheme="minorHAnsi"/>
        </w:rPr>
        <w:t>)</w:t>
      </w:r>
    </w:p>
    <w:p w14:paraId="2FABBF78" w14:textId="77777777" w:rsidR="00A064B5" w:rsidRDefault="00A064B5" w:rsidP="007C04BC">
      <w:pPr>
        <w:pStyle w:val="NoSpacing"/>
        <w:numPr>
          <w:ilvl w:val="0"/>
          <w:numId w:val="7"/>
        </w:numPr>
        <w:tabs>
          <w:tab w:val="left" w:pos="567"/>
          <w:tab w:val="left" w:pos="993"/>
        </w:tabs>
        <w:spacing w:line="276" w:lineRule="auto"/>
        <w:ind w:left="567" w:hanging="283"/>
        <w:jc w:val="both"/>
        <w:rPr>
          <w:rFonts w:cstheme="minorHAnsi"/>
        </w:rPr>
      </w:pPr>
      <w:r>
        <w:rPr>
          <w:rFonts w:cstheme="minorHAnsi"/>
        </w:rPr>
        <w:t>Ergonomics on Working from Home</w:t>
      </w:r>
    </w:p>
    <w:p w14:paraId="6ADD3A4E" w14:textId="77777777" w:rsidR="00A064B5" w:rsidRDefault="00A064B5" w:rsidP="007C04BC">
      <w:pPr>
        <w:pStyle w:val="NoSpacing"/>
        <w:numPr>
          <w:ilvl w:val="0"/>
          <w:numId w:val="7"/>
        </w:numPr>
        <w:tabs>
          <w:tab w:val="left" w:pos="567"/>
          <w:tab w:val="left" w:pos="993"/>
        </w:tabs>
        <w:spacing w:line="276" w:lineRule="auto"/>
        <w:ind w:left="567" w:hanging="283"/>
        <w:jc w:val="both"/>
        <w:rPr>
          <w:rFonts w:cstheme="minorHAnsi"/>
        </w:rPr>
      </w:pPr>
      <w:r>
        <w:rPr>
          <w:rFonts w:cstheme="minorHAnsi"/>
        </w:rPr>
        <w:t>Health and Safety Training specific to COVID-19</w:t>
      </w:r>
    </w:p>
    <w:p w14:paraId="4412A8C3" w14:textId="698DC5E9" w:rsidR="00A064B5" w:rsidRDefault="00A064B5" w:rsidP="007C04BC">
      <w:pPr>
        <w:pStyle w:val="NoSpacing"/>
        <w:numPr>
          <w:ilvl w:val="0"/>
          <w:numId w:val="7"/>
        </w:numPr>
        <w:tabs>
          <w:tab w:val="left" w:pos="567"/>
          <w:tab w:val="left" w:pos="993"/>
        </w:tabs>
        <w:spacing w:line="276" w:lineRule="auto"/>
        <w:ind w:left="567" w:hanging="283"/>
        <w:jc w:val="both"/>
        <w:rPr>
          <w:rFonts w:cstheme="minorHAnsi"/>
        </w:rPr>
      </w:pPr>
      <w:r>
        <w:rPr>
          <w:rFonts w:cstheme="minorHAnsi"/>
        </w:rPr>
        <w:t>Anti-racism Seminar (</w:t>
      </w:r>
      <w:r w:rsidR="00673302">
        <w:rPr>
          <w:rFonts w:cstheme="minorHAnsi"/>
        </w:rPr>
        <w:t>NDMNRF</w:t>
      </w:r>
      <w:r>
        <w:rPr>
          <w:rFonts w:cstheme="minorHAnsi"/>
        </w:rPr>
        <w:t xml:space="preserve"> – Café 5)</w:t>
      </w:r>
    </w:p>
    <w:p w14:paraId="4A89C2B5" w14:textId="77777777" w:rsidR="00A064B5" w:rsidRPr="00C65268" w:rsidRDefault="00A064B5" w:rsidP="00E667B4">
      <w:pPr>
        <w:pStyle w:val="Heading3"/>
      </w:pPr>
      <w:bookmarkStart w:id="38" w:name="_Toc74895898"/>
      <w:r w:rsidRPr="00C65268">
        <w:t>Alternate Work Arrangements (Telecommuting)</w:t>
      </w:r>
      <w:bookmarkEnd w:id="38"/>
    </w:p>
    <w:p w14:paraId="21FF7C70" w14:textId="77777777" w:rsidR="00A064B5" w:rsidRDefault="00A064B5" w:rsidP="00A064B5">
      <w:pPr>
        <w:pStyle w:val="NoSpacing"/>
        <w:tabs>
          <w:tab w:val="left" w:pos="993"/>
        </w:tabs>
        <w:jc w:val="both"/>
      </w:pPr>
    </w:p>
    <w:p w14:paraId="615590A1" w14:textId="77777777" w:rsidR="00A064B5" w:rsidRDefault="00A064B5" w:rsidP="007C04BC">
      <w:pPr>
        <w:pStyle w:val="NoSpacing"/>
        <w:tabs>
          <w:tab w:val="left" w:pos="993"/>
        </w:tabs>
        <w:spacing w:line="276" w:lineRule="auto"/>
        <w:jc w:val="both"/>
      </w:pPr>
      <w:r>
        <w:t xml:space="preserve">In 2018-19 the NEC launched a pilot program regarding alternative work arrangements.  The program allows staff to work from home, or an alternate approved location, based on agreed-upon terms.   In 2019-20 the NEC made a strategic decision to replace desktop computers with laptops and VPN capacity to facilitate working from home and further reduce the need for desktop computers.  </w:t>
      </w:r>
    </w:p>
    <w:p w14:paraId="2A9A5651" w14:textId="77777777" w:rsidR="00A064B5" w:rsidRDefault="00A064B5" w:rsidP="007C04BC">
      <w:pPr>
        <w:pStyle w:val="NoSpacing"/>
        <w:tabs>
          <w:tab w:val="left" w:pos="993"/>
        </w:tabs>
        <w:spacing w:line="276" w:lineRule="auto"/>
        <w:jc w:val="both"/>
      </w:pPr>
    </w:p>
    <w:p w14:paraId="7DEE357E" w14:textId="057AE1FA" w:rsidR="00A064B5" w:rsidRDefault="00A064B5" w:rsidP="007C04BC">
      <w:pPr>
        <w:pStyle w:val="NoSpacing"/>
        <w:tabs>
          <w:tab w:val="left" w:pos="993"/>
        </w:tabs>
        <w:spacing w:line="276" w:lineRule="auto"/>
        <w:jc w:val="both"/>
      </w:pPr>
      <w:r w:rsidRPr="715CA665">
        <w:t>This was extremely advantageous during the onset of COVID-19 when all staff were directed to work from home effective March 16, 2020 with little advance notice.   Having alternative work arrangements in place meant that the NEC could make the transition in a seamless and highly effective manner.</w:t>
      </w:r>
      <w:r w:rsidR="00106990">
        <w:t xml:space="preserve">  These alternate work arrangements continued in 2020-21.</w:t>
      </w:r>
    </w:p>
    <w:p w14:paraId="36871B55" w14:textId="77777777" w:rsidR="00A064B5" w:rsidRDefault="00A064B5" w:rsidP="00A064B5">
      <w:pPr>
        <w:rPr>
          <w:highlight w:val="yellow"/>
        </w:rPr>
      </w:pPr>
    </w:p>
    <w:p w14:paraId="5BBAAFB3" w14:textId="77777777" w:rsidR="00A064B5" w:rsidRPr="008D23F2" w:rsidRDefault="00A064B5" w:rsidP="008D23F2">
      <w:pPr>
        <w:pStyle w:val="Heading2"/>
      </w:pPr>
      <w:bookmarkStart w:id="39" w:name="_Toc12440787"/>
      <w:bookmarkStart w:id="40" w:name="_Toc44333616"/>
      <w:bookmarkStart w:id="41" w:name="_Toc74895900"/>
      <w:r w:rsidRPr="008D23F2">
        <w:t>Business Process Improvement</w:t>
      </w:r>
      <w:bookmarkEnd w:id="39"/>
      <w:bookmarkEnd w:id="40"/>
      <w:bookmarkEnd w:id="41"/>
    </w:p>
    <w:p w14:paraId="5136BC1B" w14:textId="77777777" w:rsidR="007C04BC" w:rsidRDefault="007C04BC" w:rsidP="00A064B5">
      <w:pPr>
        <w:pStyle w:val="NoSpacing"/>
        <w:tabs>
          <w:tab w:val="left" w:pos="993"/>
        </w:tabs>
        <w:jc w:val="both"/>
        <w:rPr>
          <w:rFonts w:cstheme="minorHAnsi"/>
        </w:rPr>
      </w:pPr>
    </w:p>
    <w:p w14:paraId="23F35C1E" w14:textId="665E7837" w:rsidR="00A064B5" w:rsidRPr="00C65268" w:rsidRDefault="00A064B5" w:rsidP="007C04BC">
      <w:pPr>
        <w:pStyle w:val="NoSpacing"/>
        <w:tabs>
          <w:tab w:val="left" w:pos="993"/>
        </w:tabs>
        <w:spacing w:line="276" w:lineRule="auto"/>
        <w:jc w:val="both"/>
        <w:rPr>
          <w:rFonts w:cstheme="minorHAnsi"/>
        </w:rPr>
      </w:pPr>
      <w:r w:rsidRPr="00C65268">
        <w:rPr>
          <w:rFonts w:cstheme="minorHAnsi"/>
        </w:rPr>
        <w:t>In 2017-18, the NEC began an initiative to map its main business processes as a means of improving organizational effectiveness, both in terms of finding business efficiencies and enhancing customer service. Business process mapping involves documenting processes in a flowchart format and initiating an ongoing effort of continuous improvement by identifying redundancies, bottlenecks and opportunities to streamline.</w:t>
      </w:r>
    </w:p>
    <w:p w14:paraId="4A21A890" w14:textId="77777777" w:rsidR="00A064B5" w:rsidRPr="00C65268" w:rsidRDefault="00A064B5" w:rsidP="007C04BC">
      <w:pPr>
        <w:pStyle w:val="NoSpacing"/>
        <w:tabs>
          <w:tab w:val="left" w:pos="993"/>
        </w:tabs>
        <w:spacing w:line="276" w:lineRule="auto"/>
        <w:jc w:val="both"/>
        <w:rPr>
          <w:rFonts w:cstheme="minorHAnsi"/>
        </w:rPr>
      </w:pPr>
    </w:p>
    <w:p w14:paraId="084C88F6" w14:textId="77777777" w:rsidR="00A064B5" w:rsidRPr="00C65268" w:rsidRDefault="00A064B5" w:rsidP="007C04BC">
      <w:pPr>
        <w:pStyle w:val="NoSpacing"/>
        <w:tabs>
          <w:tab w:val="left" w:pos="993"/>
        </w:tabs>
        <w:spacing w:line="276" w:lineRule="auto"/>
        <w:jc w:val="both"/>
        <w:rPr>
          <w:rFonts w:cstheme="minorHAnsi"/>
        </w:rPr>
      </w:pPr>
      <w:r w:rsidRPr="00C65268">
        <w:rPr>
          <w:rFonts w:cstheme="minorHAnsi"/>
        </w:rPr>
        <w:t>The following table shows the processes that have been completed, those in progress and those that are planned for future.</w:t>
      </w:r>
    </w:p>
    <w:p w14:paraId="59764A35" w14:textId="77777777" w:rsidR="00A064B5" w:rsidRDefault="00A064B5" w:rsidP="00A064B5">
      <w:pPr>
        <w:pStyle w:val="NoSpacing"/>
        <w:tabs>
          <w:tab w:val="left" w:pos="993"/>
        </w:tabs>
        <w:jc w:val="both"/>
        <w:rPr>
          <w:szCs w:val="24"/>
        </w:rPr>
      </w:pPr>
    </w:p>
    <w:p w14:paraId="60863AED" w14:textId="77777777" w:rsidR="002C2B52" w:rsidRDefault="002C2B52">
      <w:pPr>
        <w:rPr>
          <w:b/>
          <w:szCs w:val="24"/>
        </w:rPr>
      </w:pPr>
      <w:r>
        <w:rPr>
          <w:b/>
          <w:szCs w:val="24"/>
        </w:rPr>
        <w:br w:type="page"/>
      </w:r>
    </w:p>
    <w:p w14:paraId="2A09A90C" w14:textId="528C041A" w:rsidR="00A064B5" w:rsidRPr="00B33859" w:rsidRDefault="00A064B5" w:rsidP="00A064B5">
      <w:pPr>
        <w:pStyle w:val="NoSpacing"/>
        <w:tabs>
          <w:tab w:val="left" w:pos="993"/>
        </w:tabs>
        <w:jc w:val="both"/>
        <w:rPr>
          <w:b/>
          <w:szCs w:val="24"/>
        </w:rPr>
      </w:pPr>
      <w:r>
        <w:rPr>
          <w:b/>
          <w:szCs w:val="24"/>
        </w:rPr>
        <w:lastRenderedPageBreak/>
        <w:t>Table 2</w:t>
      </w:r>
    </w:p>
    <w:p w14:paraId="4FA70A60" w14:textId="77777777" w:rsidR="00A064B5" w:rsidRDefault="00A064B5" w:rsidP="00A064B5">
      <w:pPr>
        <w:pStyle w:val="NoSpacing"/>
        <w:tabs>
          <w:tab w:val="left" w:pos="993"/>
        </w:tabs>
        <w:jc w:val="both"/>
        <w:rPr>
          <w:szCs w:val="24"/>
        </w:rPr>
      </w:pPr>
    </w:p>
    <w:tbl>
      <w:tblPr>
        <w:tblStyle w:val="TableGrid"/>
        <w:tblW w:w="0" w:type="auto"/>
        <w:tblLook w:val="04A0" w:firstRow="1" w:lastRow="0" w:firstColumn="1" w:lastColumn="0" w:noHBand="0" w:noVBand="1"/>
      </w:tblPr>
      <w:tblGrid>
        <w:gridCol w:w="2875"/>
        <w:gridCol w:w="3358"/>
        <w:gridCol w:w="3117"/>
      </w:tblGrid>
      <w:tr w:rsidR="00A064B5" w:rsidRPr="00127468" w14:paraId="5C2CB746" w14:textId="77777777" w:rsidTr="00AB2342">
        <w:tc>
          <w:tcPr>
            <w:tcW w:w="2875" w:type="dxa"/>
          </w:tcPr>
          <w:p w14:paraId="5645D69F" w14:textId="77777777" w:rsidR="00A064B5" w:rsidRPr="00127468" w:rsidRDefault="00A064B5" w:rsidP="00AB2342">
            <w:pPr>
              <w:pStyle w:val="NoSpacing"/>
              <w:tabs>
                <w:tab w:val="left" w:pos="993"/>
              </w:tabs>
              <w:jc w:val="center"/>
              <w:rPr>
                <w:b/>
                <w:szCs w:val="24"/>
              </w:rPr>
            </w:pPr>
            <w:r w:rsidRPr="00127468">
              <w:rPr>
                <w:b/>
                <w:szCs w:val="24"/>
              </w:rPr>
              <w:t>Processes Mapped</w:t>
            </w:r>
          </w:p>
        </w:tc>
        <w:tc>
          <w:tcPr>
            <w:tcW w:w="3358" w:type="dxa"/>
          </w:tcPr>
          <w:p w14:paraId="5047721E" w14:textId="77777777" w:rsidR="00A064B5" w:rsidRPr="00127468" w:rsidRDefault="00A064B5" w:rsidP="00AB2342">
            <w:pPr>
              <w:pStyle w:val="NoSpacing"/>
              <w:tabs>
                <w:tab w:val="left" w:pos="993"/>
              </w:tabs>
              <w:jc w:val="center"/>
              <w:rPr>
                <w:b/>
                <w:szCs w:val="24"/>
              </w:rPr>
            </w:pPr>
            <w:r w:rsidRPr="00127468">
              <w:rPr>
                <w:b/>
                <w:szCs w:val="24"/>
              </w:rPr>
              <w:t xml:space="preserve">Processing </w:t>
            </w:r>
            <w:proofErr w:type="gramStart"/>
            <w:r w:rsidRPr="00127468">
              <w:rPr>
                <w:b/>
                <w:szCs w:val="24"/>
              </w:rPr>
              <w:t>In</w:t>
            </w:r>
            <w:proofErr w:type="gramEnd"/>
            <w:r w:rsidRPr="00127468">
              <w:rPr>
                <w:b/>
                <w:szCs w:val="24"/>
              </w:rPr>
              <w:t xml:space="preserve"> Progress</w:t>
            </w:r>
          </w:p>
        </w:tc>
        <w:tc>
          <w:tcPr>
            <w:tcW w:w="3117" w:type="dxa"/>
          </w:tcPr>
          <w:p w14:paraId="5FF1D95D" w14:textId="77777777" w:rsidR="00A064B5" w:rsidRPr="00127468" w:rsidRDefault="00A064B5" w:rsidP="00AB2342">
            <w:pPr>
              <w:pStyle w:val="NoSpacing"/>
              <w:tabs>
                <w:tab w:val="left" w:pos="993"/>
              </w:tabs>
              <w:jc w:val="center"/>
              <w:rPr>
                <w:b/>
                <w:szCs w:val="24"/>
              </w:rPr>
            </w:pPr>
            <w:r w:rsidRPr="00127468">
              <w:rPr>
                <w:b/>
                <w:szCs w:val="24"/>
              </w:rPr>
              <w:t>Processes Planned</w:t>
            </w:r>
          </w:p>
        </w:tc>
      </w:tr>
      <w:tr w:rsidR="00A064B5" w:rsidRPr="00127468" w14:paraId="62EDCC2E" w14:textId="77777777" w:rsidTr="00AB2342">
        <w:tc>
          <w:tcPr>
            <w:tcW w:w="2875" w:type="dxa"/>
          </w:tcPr>
          <w:p w14:paraId="3A7FE740" w14:textId="77777777" w:rsidR="00A064B5" w:rsidRPr="00127468" w:rsidRDefault="00A064B5" w:rsidP="00A064B5">
            <w:pPr>
              <w:pStyle w:val="NoSpacing"/>
              <w:numPr>
                <w:ilvl w:val="0"/>
                <w:numId w:val="8"/>
              </w:numPr>
              <w:tabs>
                <w:tab w:val="left" w:pos="993"/>
              </w:tabs>
              <w:rPr>
                <w:szCs w:val="24"/>
              </w:rPr>
            </w:pPr>
            <w:r w:rsidRPr="00127468">
              <w:rPr>
                <w:szCs w:val="24"/>
              </w:rPr>
              <w:t>Development Permit Application (DPA)</w:t>
            </w:r>
          </w:p>
          <w:p w14:paraId="57D74E87" w14:textId="77777777" w:rsidR="00A064B5" w:rsidRPr="00127468" w:rsidRDefault="00A064B5" w:rsidP="00A064B5">
            <w:pPr>
              <w:pStyle w:val="NoSpacing"/>
              <w:numPr>
                <w:ilvl w:val="0"/>
                <w:numId w:val="8"/>
              </w:numPr>
              <w:tabs>
                <w:tab w:val="left" w:pos="993"/>
              </w:tabs>
              <w:rPr>
                <w:szCs w:val="24"/>
              </w:rPr>
            </w:pPr>
            <w:r w:rsidRPr="00127468">
              <w:rPr>
                <w:szCs w:val="24"/>
              </w:rPr>
              <w:t>Responding to DPA Inquiries</w:t>
            </w:r>
          </w:p>
          <w:p w14:paraId="79EC676F" w14:textId="77777777" w:rsidR="00A064B5" w:rsidRPr="00127468" w:rsidRDefault="00A064B5" w:rsidP="00A064B5">
            <w:pPr>
              <w:pStyle w:val="NoSpacing"/>
              <w:numPr>
                <w:ilvl w:val="0"/>
                <w:numId w:val="8"/>
              </w:numPr>
              <w:tabs>
                <w:tab w:val="left" w:pos="993"/>
              </w:tabs>
              <w:rPr>
                <w:szCs w:val="24"/>
              </w:rPr>
            </w:pPr>
            <w:r w:rsidRPr="00127468">
              <w:rPr>
                <w:szCs w:val="24"/>
              </w:rPr>
              <w:t xml:space="preserve">Responding to Property Inquiries </w:t>
            </w:r>
          </w:p>
          <w:p w14:paraId="7D48F7B8" w14:textId="77777777" w:rsidR="00A064B5" w:rsidRPr="00127468" w:rsidRDefault="00A064B5" w:rsidP="00A064B5">
            <w:pPr>
              <w:pStyle w:val="NoSpacing"/>
              <w:numPr>
                <w:ilvl w:val="0"/>
                <w:numId w:val="8"/>
              </w:numPr>
              <w:tabs>
                <w:tab w:val="left" w:pos="993"/>
              </w:tabs>
              <w:rPr>
                <w:szCs w:val="24"/>
              </w:rPr>
            </w:pPr>
            <w:r w:rsidRPr="00127468">
              <w:rPr>
                <w:szCs w:val="24"/>
              </w:rPr>
              <w:t>Preparing Property Information Reports</w:t>
            </w:r>
          </w:p>
          <w:p w14:paraId="73544B59" w14:textId="77777777" w:rsidR="00A064B5" w:rsidRPr="00127468" w:rsidRDefault="00A064B5" w:rsidP="00A064B5">
            <w:pPr>
              <w:pStyle w:val="NoSpacing"/>
              <w:numPr>
                <w:ilvl w:val="0"/>
                <w:numId w:val="8"/>
              </w:numPr>
              <w:tabs>
                <w:tab w:val="left" w:pos="993"/>
              </w:tabs>
              <w:rPr>
                <w:szCs w:val="24"/>
              </w:rPr>
            </w:pPr>
            <w:r w:rsidRPr="00127468">
              <w:rPr>
                <w:szCs w:val="24"/>
              </w:rPr>
              <w:t>Processing Development Permit Exemptions</w:t>
            </w:r>
          </w:p>
          <w:p w14:paraId="03DB78C4" w14:textId="77777777" w:rsidR="00A064B5" w:rsidRPr="00127468" w:rsidRDefault="00A064B5" w:rsidP="00A064B5">
            <w:pPr>
              <w:pStyle w:val="NoSpacing"/>
              <w:numPr>
                <w:ilvl w:val="0"/>
                <w:numId w:val="8"/>
              </w:numPr>
              <w:tabs>
                <w:tab w:val="left" w:pos="993"/>
              </w:tabs>
              <w:rPr>
                <w:szCs w:val="24"/>
              </w:rPr>
            </w:pPr>
            <w:r w:rsidRPr="00127468">
              <w:rPr>
                <w:szCs w:val="24"/>
              </w:rPr>
              <w:t>Notice of Decision &amp; Appeals Process</w:t>
            </w:r>
          </w:p>
          <w:p w14:paraId="15B4AC2E" w14:textId="77777777" w:rsidR="00A064B5" w:rsidRPr="00127468" w:rsidRDefault="00A064B5" w:rsidP="00A064B5">
            <w:pPr>
              <w:pStyle w:val="NoSpacing"/>
              <w:numPr>
                <w:ilvl w:val="0"/>
                <w:numId w:val="8"/>
              </w:numPr>
              <w:tabs>
                <w:tab w:val="left" w:pos="993"/>
              </w:tabs>
              <w:rPr>
                <w:szCs w:val="24"/>
              </w:rPr>
            </w:pPr>
            <w:r w:rsidRPr="00127468">
              <w:rPr>
                <w:szCs w:val="24"/>
              </w:rPr>
              <w:t>Commission Meetings</w:t>
            </w:r>
          </w:p>
          <w:p w14:paraId="4F3E244C" w14:textId="77777777" w:rsidR="00A064B5" w:rsidRPr="00127468" w:rsidRDefault="00A064B5" w:rsidP="00A064B5">
            <w:pPr>
              <w:pStyle w:val="NoSpacing"/>
              <w:numPr>
                <w:ilvl w:val="0"/>
                <w:numId w:val="8"/>
              </w:numPr>
              <w:tabs>
                <w:tab w:val="left" w:pos="993"/>
              </w:tabs>
              <w:rPr>
                <w:szCs w:val="24"/>
              </w:rPr>
            </w:pPr>
            <w:r w:rsidRPr="00127468">
              <w:rPr>
                <w:szCs w:val="24"/>
              </w:rPr>
              <w:t>Niagara Escarpment Plan Amendments</w:t>
            </w:r>
          </w:p>
          <w:p w14:paraId="1E034B4F" w14:textId="77777777" w:rsidR="00A064B5" w:rsidRPr="00127468" w:rsidRDefault="00A064B5" w:rsidP="00AB2342">
            <w:pPr>
              <w:pStyle w:val="NoSpacing"/>
              <w:tabs>
                <w:tab w:val="left" w:pos="993"/>
              </w:tabs>
              <w:rPr>
                <w:szCs w:val="24"/>
              </w:rPr>
            </w:pPr>
          </w:p>
        </w:tc>
        <w:tc>
          <w:tcPr>
            <w:tcW w:w="3358" w:type="dxa"/>
          </w:tcPr>
          <w:p w14:paraId="7F6CC50D" w14:textId="77777777" w:rsidR="00A064B5" w:rsidRPr="00127468" w:rsidRDefault="00A064B5" w:rsidP="00A064B5">
            <w:pPr>
              <w:pStyle w:val="NoSpacing"/>
              <w:numPr>
                <w:ilvl w:val="0"/>
                <w:numId w:val="8"/>
              </w:numPr>
              <w:tabs>
                <w:tab w:val="left" w:pos="993"/>
              </w:tabs>
              <w:rPr>
                <w:szCs w:val="24"/>
              </w:rPr>
            </w:pPr>
            <w:r w:rsidRPr="00127468">
              <w:rPr>
                <w:szCs w:val="24"/>
              </w:rPr>
              <w:t>Enforcement/Compliance Procedures</w:t>
            </w:r>
          </w:p>
        </w:tc>
        <w:tc>
          <w:tcPr>
            <w:tcW w:w="3117" w:type="dxa"/>
          </w:tcPr>
          <w:p w14:paraId="0AD07C23" w14:textId="77777777" w:rsidR="00A064B5" w:rsidRPr="00127468" w:rsidRDefault="00A064B5" w:rsidP="00A064B5">
            <w:pPr>
              <w:pStyle w:val="NoSpacing"/>
              <w:numPr>
                <w:ilvl w:val="0"/>
                <w:numId w:val="8"/>
              </w:numPr>
              <w:tabs>
                <w:tab w:val="left" w:pos="993"/>
              </w:tabs>
              <w:rPr>
                <w:szCs w:val="24"/>
              </w:rPr>
            </w:pPr>
            <w:r w:rsidRPr="00127468">
              <w:rPr>
                <w:szCs w:val="24"/>
              </w:rPr>
              <w:t>Commission Staff Reports (Policy)</w:t>
            </w:r>
          </w:p>
          <w:p w14:paraId="7B36FA4B" w14:textId="77777777" w:rsidR="00A064B5" w:rsidRPr="00127468" w:rsidRDefault="00A064B5" w:rsidP="00A064B5">
            <w:pPr>
              <w:pStyle w:val="NoSpacing"/>
              <w:numPr>
                <w:ilvl w:val="0"/>
                <w:numId w:val="8"/>
              </w:numPr>
              <w:tabs>
                <w:tab w:val="left" w:pos="993"/>
              </w:tabs>
              <w:rPr>
                <w:szCs w:val="24"/>
              </w:rPr>
            </w:pPr>
            <w:r w:rsidRPr="00127468">
              <w:rPr>
                <w:szCs w:val="24"/>
              </w:rPr>
              <w:t>Commission Policy Meeting Procedures</w:t>
            </w:r>
          </w:p>
          <w:p w14:paraId="072CF634" w14:textId="77777777" w:rsidR="00A064B5" w:rsidRPr="00127468" w:rsidRDefault="00A064B5" w:rsidP="00A064B5">
            <w:pPr>
              <w:pStyle w:val="NoSpacing"/>
              <w:numPr>
                <w:ilvl w:val="0"/>
                <w:numId w:val="8"/>
              </w:numPr>
              <w:tabs>
                <w:tab w:val="left" w:pos="993"/>
              </w:tabs>
              <w:rPr>
                <w:szCs w:val="24"/>
              </w:rPr>
            </w:pPr>
            <w:r w:rsidRPr="00127468">
              <w:rPr>
                <w:szCs w:val="24"/>
              </w:rPr>
              <w:t>Planning Act Applications</w:t>
            </w:r>
          </w:p>
        </w:tc>
      </w:tr>
    </w:tbl>
    <w:p w14:paraId="57BEEFC1" w14:textId="77777777" w:rsidR="00A064B5" w:rsidRPr="001E1210" w:rsidRDefault="00A064B5" w:rsidP="00A064B5">
      <w:pPr>
        <w:pStyle w:val="NoSpacing"/>
        <w:tabs>
          <w:tab w:val="left" w:pos="993"/>
        </w:tabs>
        <w:jc w:val="both"/>
        <w:rPr>
          <w:szCs w:val="24"/>
        </w:rPr>
      </w:pPr>
    </w:p>
    <w:p w14:paraId="5300A04B" w14:textId="77777777" w:rsidR="00A064B5" w:rsidRDefault="00A064B5" w:rsidP="007C04BC">
      <w:pPr>
        <w:pStyle w:val="NoSpacing"/>
        <w:tabs>
          <w:tab w:val="left" w:pos="993"/>
        </w:tabs>
        <w:spacing w:line="276" w:lineRule="auto"/>
        <w:jc w:val="both"/>
      </w:pPr>
      <w:r w:rsidRPr="002D4448">
        <w:t>In documenting business processes, NEC continues to identify efficiencies. This work is providing greater consistency of NEP implementation and is building a permanent record of how NEC business is done, which is an invaluable training and succession-planning tool.  The process also identified the need for guidelines to support various process elements.  Some of this work is still underway.</w:t>
      </w:r>
    </w:p>
    <w:p w14:paraId="5A124DA3" w14:textId="77777777" w:rsidR="00A064B5" w:rsidRDefault="00A064B5" w:rsidP="007C04BC">
      <w:pPr>
        <w:pStyle w:val="NoSpacing"/>
        <w:tabs>
          <w:tab w:val="left" w:pos="993"/>
        </w:tabs>
        <w:spacing w:line="276" w:lineRule="auto"/>
        <w:jc w:val="both"/>
        <w:rPr>
          <w:rFonts w:cstheme="minorHAnsi"/>
        </w:rPr>
      </w:pPr>
    </w:p>
    <w:p w14:paraId="0B3951BE" w14:textId="2BC174D3" w:rsidR="00A064B5" w:rsidRPr="00C65268" w:rsidRDefault="00A064B5" w:rsidP="007C04BC">
      <w:pPr>
        <w:pStyle w:val="NoSpacing"/>
        <w:tabs>
          <w:tab w:val="left" w:pos="993"/>
        </w:tabs>
        <w:spacing w:line="276" w:lineRule="auto"/>
        <w:jc w:val="both"/>
        <w:rPr>
          <w:rFonts w:cstheme="minorHAnsi"/>
        </w:rPr>
      </w:pPr>
      <w:r>
        <w:rPr>
          <w:rFonts w:cstheme="minorHAnsi"/>
        </w:rPr>
        <w:t>More significantly, the NEC was well positioned to on-board new staff in the midst of COVID-19 since all processes were clearly documented and accessible through collaborative IT platforms.</w:t>
      </w:r>
      <w:r w:rsidR="007D2752">
        <w:rPr>
          <w:rFonts w:cstheme="minorHAnsi"/>
        </w:rPr>
        <w:t xml:space="preserve">  Streamlined processes and efficiencies</w:t>
      </w:r>
      <w:r w:rsidR="000A3869">
        <w:rPr>
          <w:rFonts w:cstheme="minorHAnsi"/>
        </w:rPr>
        <w:t xml:space="preserve"> put in place during COVID-19 will inform changes to the Business Process Mapping.</w:t>
      </w:r>
    </w:p>
    <w:p w14:paraId="31018C3D" w14:textId="77777777" w:rsidR="00A064B5" w:rsidRDefault="00A064B5" w:rsidP="00A064B5">
      <w:pPr>
        <w:rPr>
          <w:highlight w:val="yellow"/>
        </w:rPr>
      </w:pPr>
    </w:p>
    <w:p w14:paraId="236DCC11" w14:textId="77777777" w:rsidR="00A064B5" w:rsidRPr="008D23F2" w:rsidRDefault="00A064B5" w:rsidP="008D23F2">
      <w:pPr>
        <w:pStyle w:val="Heading2"/>
      </w:pPr>
      <w:bookmarkStart w:id="42" w:name="_Toc12440788"/>
      <w:bookmarkStart w:id="43" w:name="_Toc44333617"/>
      <w:bookmarkStart w:id="44" w:name="_Toc74895901"/>
      <w:bookmarkStart w:id="45" w:name="_Hlk74494095"/>
      <w:bookmarkStart w:id="46" w:name="_Hlk69735855"/>
      <w:r w:rsidRPr="008D23F2">
        <w:t>Database Renewal and Information Technology Enhancements</w:t>
      </w:r>
      <w:bookmarkEnd w:id="42"/>
      <w:bookmarkEnd w:id="43"/>
      <w:bookmarkEnd w:id="44"/>
    </w:p>
    <w:bookmarkEnd w:id="45"/>
    <w:p w14:paraId="463A5BBA" w14:textId="77777777" w:rsidR="00A064B5" w:rsidRDefault="00A064B5" w:rsidP="00A064B5">
      <w:pPr>
        <w:pStyle w:val="NoSpacing"/>
        <w:jc w:val="both"/>
        <w:rPr>
          <w:rFonts w:cstheme="minorHAnsi"/>
        </w:rPr>
      </w:pPr>
    </w:p>
    <w:p w14:paraId="47DDC736" w14:textId="4B90A83C" w:rsidR="00A064B5" w:rsidRDefault="00A064B5" w:rsidP="00231517">
      <w:pPr>
        <w:pStyle w:val="NoSpacing"/>
        <w:spacing w:line="276" w:lineRule="auto"/>
        <w:jc w:val="both"/>
        <w:rPr>
          <w:rFonts w:cstheme="minorHAnsi"/>
        </w:rPr>
      </w:pPr>
      <w:r>
        <w:rPr>
          <w:rFonts w:cstheme="minorHAnsi"/>
        </w:rPr>
        <w:t>In 2020-21</w:t>
      </w:r>
      <w:r w:rsidR="00B83B0E">
        <w:rPr>
          <w:rFonts w:cstheme="minorHAnsi"/>
        </w:rPr>
        <w:t>,</w:t>
      </w:r>
      <w:r>
        <w:rPr>
          <w:rFonts w:cstheme="minorHAnsi"/>
        </w:rPr>
        <w:t xml:space="preserve"> the NEC’s priority remained </w:t>
      </w:r>
      <w:r w:rsidR="0018002D">
        <w:rPr>
          <w:rFonts w:cstheme="minorHAnsi"/>
        </w:rPr>
        <w:t xml:space="preserve">on </w:t>
      </w:r>
      <w:r>
        <w:rPr>
          <w:rFonts w:cstheme="minorHAnsi"/>
        </w:rPr>
        <w:t xml:space="preserve">seeking to replace the outdated database.  The database is critical in the NEC’s operation of processing Development Permit applications.  The existing system was developed in the early 2000s and has reached the end of its life cycle.  </w:t>
      </w:r>
      <w:r w:rsidRPr="00C65268">
        <w:rPr>
          <w:rFonts w:cstheme="minorHAnsi"/>
        </w:rPr>
        <w:t xml:space="preserve">The current database lacks relational and search capabilities of modern applications, is prone to human error and cannot produce robust statistics to accurately measure performance and support continuous improvement.  </w:t>
      </w:r>
      <w:r>
        <w:rPr>
          <w:rFonts w:cstheme="minorHAnsi"/>
        </w:rPr>
        <w:t xml:space="preserve">Further, it does not have the capacity for electronic submission and management of applications.  </w:t>
      </w:r>
    </w:p>
    <w:p w14:paraId="223037E3" w14:textId="77777777" w:rsidR="00A064B5" w:rsidRDefault="00A064B5" w:rsidP="00231517">
      <w:pPr>
        <w:pStyle w:val="NoSpacing"/>
        <w:spacing w:line="276" w:lineRule="auto"/>
        <w:jc w:val="both"/>
        <w:rPr>
          <w:rFonts w:cstheme="minorHAnsi"/>
        </w:rPr>
      </w:pPr>
    </w:p>
    <w:p w14:paraId="2EDCCE11" w14:textId="7EEE7B05" w:rsidR="00A064B5" w:rsidRPr="00D65ACD" w:rsidRDefault="00A064B5" w:rsidP="00231517">
      <w:pPr>
        <w:pStyle w:val="NoSpacing"/>
        <w:spacing w:line="276" w:lineRule="auto"/>
        <w:jc w:val="both"/>
      </w:pPr>
      <w:r w:rsidRPr="00D65ACD">
        <w:t xml:space="preserve">The following activities occurred in 2020-21 to address </w:t>
      </w:r>
      <w:r>
        <w:t xml:space="preserve">the NEC’s needs and align program implementation with </w:t>
      </w:r>
      <w:r w:rsidR="00673302">
        <w:t>NDMNRF</w:t>
      </w:r>
      <w:r>
        <w:t>’s Digital Strategy.</w:t>
      </w:r>
    </w:p>
    <w:p w14:paraId="67DA2A68" w14:textId="77777777" w:rsidR="00A064B5" w:rsidRPr="00D65ACD" w:rsidRDefault="00A064B5" w:rsidP="00231517">
      <w:pPr>
        <w:pStyle w:val="NoSpacing"/>
        <w:spacing w:line="276" w:lineRule="auto"/>
        <w:jc w:val="both"/>
        <w:rPr>
          <w:rFonts w:cstheme="minorHAnsi"/>
        </w:rPr>
      </w:pPr>
    </w:p>
    <w:p w14:paraId="3799B584" w14:textId="77777777" w:rsidR="00A064B5" w:rsidRPr="00D65ACD" w:rsidRDefault="00A064B5" w:rsidP="00231517">
      <w:pPr>
        <w:pStyle w:val="ListParagraph"/>
        <w:numPr>
          <w:ilvl w:val="0"/>
          <w:numId w:val="10"/>
        </w:numPr>
        <w:rPr>
          <w:rFonts w:cstheme="minorHAnsi"/>
          <w:b/>
          <w:bCs/>
        </w:rPr>
      </w:pPr>
      <w:r w:rsidRPr="00D65ACD">
        <w:rPr>
          <w:rFonts w:cstheme="minorHAnsi"/>
          <w:b/>
          <w:bCs/>
        </w:rPr>
        <w:t>Replacing the existing permit application database</w:t>
      </w:r>
    </w:p>
    <w:p w14:paraId="1ED56BB6" w14:textId="77777777" w:rsidR="00A064B5" w:rsidRPr="00D65ACD" w:rsidRDefault="00A064B5" w:rsidP="00231517">
      <w:pPr>
        <w:pStyle w:val="ListParagraph"/>
        <w:numPr>
          <w:ilvl w:val="0"/>
          <w:numId w:val="11"/>
        </w:numPr>
        <w:rPr>
          <w:rFonts w:cstheme="minorHAnsi"/>
        </w:rPr>
      </w:pPr>
      <w:r w:rsidRPr="00D65ACD">
        <w:rPr>
          <w:rFonts w:cstheme="minorHAnsi"/>
        </w:rPr>
        <w:t>The NEC submitted a project proposal for fiscal year 2021-2022 through the Ministry’s Committee on Information Management and Information Technology (MCIMIT) to replace the existing permit application database with a modern information management system.</w:t>
      </w:r>
    </w:p>
    <w:p w14:paraId="7C91E806" w14:textId="77777777" w:rsidR="00A064B5" w:rsidRPr="00D65ACD" w:rsidRDefault="00A064B5" w:rsidP="00231517">
      <w:pPr>
        <w:pStyle w:val="ListParagraph"/>
        <w:numPr>
          <w:ilvl w:val="0"/>
          <w:numId w:val="11"/>
        </w:numPr>
        <w:rPr>
          <w:rFonts w:cstheme="minorHAnsi"/>
        </w:rPr>
      </w:pPr>
      <w:r w:rsidRPr="00D65ACD">
        <w:rPr>
          <w:rFonts w:cstheme="minorHAnsi"/>
        </w:rPr>
        <w:t>Phase 1 of the project was completed in 2019-2020. The NEC worked with LRC to examine existing application solutions utilized by the province and provide a blueprint for the development of a modern information management system. Out of this initial phase, three options were identified (.NET, Siebel and Java) with coarse level coast estimates for each.</w:t>
      </w:r>
    </w:p>
    <w:p w14:paraId="047F3641" w14:textId="77777777" w:rsidR="00A064B5" w:rsidRPr="00D65ACD" w:rsidRDefault="00A064B5" w:rsidP="00231517">
      <w:pPr>
        <w:pStyle w:val="ListParagraph"/>
        <w:numPr>
          <w:ilvl w:val="0"/>
          <w:numId w:val="11"/>
        </w:numPr>
        <w:rPr>
          <w:rFonts w:cstheme="minorHAnsi"/>
        </w:rPr>
      </w:pPr>
      <w:r w:rsidRPr="00D65ACD">
        <w:rPr>
          <w:rFonts w:cstheme="minorHAnsi"/>
        </w:rPr>
        <w:t>The Permission Enterprise Platform (PEP), an existing Java solution currently in use throughout the OPS, was identified as a potential option to replace the NEC’s existing development permit database.</w:t>
      </w:r>
    </w:p>
    <w:p w14:paraId="1F5109B2" w14:textId="77777777" w:rsidR="00A064B5" w:rsidRPr="00D65ACD" w:rsidRDefault="00A064B5" w:rsidP="00231517">
      <w:pPr>
        <w:pStyle w:val="ListParagraph"/>
        <w:numPr>
          <w:ilvl w:val="0"/>
          <w:numId w:val="11"/>
        </w:numPr>
        <w:rPr>
          <w:szCs w:val="24"/>
        </w:rPr>
      </w:pPr>
      <w:r w:rsidRPr="00D65ACD">
        <w:rPr>
          <w:szCs w:val="24"/>
        </w:rPr>
        <w:t>In 2019-20, the NEC, working with LRC Solution Designers, completed the work of identifying the core functionality of a PEP solution that would be required to meet the agency’s business needs.  NEC staff tested the application and confirmed that it would support database needs and enable a comprehensive on-line application and process management.</w:t>
      </w:r>
    </w:p>
    <w:p w14:paraId="02EDC058" w14:textId="1DF266EE" w:rsidR="00A064B5" w:rsidRDefault="00A064B5" w:rsidP="00231517">
      <w:pPr>
        <w:pStyle w:val="ListParagraph"/>
        <w:numPr>
          <w:ilvl w:val="0"/>
          <w:numId w:val="11"/>
        </w:numPr>
        <w:rPr>
          <w:rFonts w:cstheme="minorHAnsi"/>
        </w:rPr>
      </w:pPr>
      <w:r w:rsidRPr="00D65ACD">
        <w:rPr>
          <w:rFonts w:cstheme="minorHAnsi"/>
        </w:rPr>
        <w:t xml:space="preserve">The NEC continues to work with </w:t>
      </w:r>
      <w:r w:rsidR="00673302">
        <w:rPr>
          <w:rFonts w:cstheme="minorHAnsi"/>
        </w:rPr>
        <w:t>NDMNRF</w:t>
      </w:r>
      <w:r w:rsidRPr="00D65ACD">
        <w:rPr>
          <w:rFonts w:cstheme="minorHAnsi"/>
        </w:rPr>
        <w:t xml:space="preserve"> regarding funding support for a PEP application and is participating in discussions regarding how NEC needs can be addressed through other similar projects occurring within the Ministry. </w:t>
      </w:r>
    </w:p>
    <w:p w14:paraId="75F898CD" w14:textId="3D2D9C7B" w:rsidR="00A064B5" w:rsidRPr="00D65ACD" w:rsidRDefault="00A064B5" w:rsidP="00231517">
      <w:pPr>
        <w:pStyle w:val="ListParagraph"/>
        <w:numPr>
          <w:ilvl w:val="0"/>
          <w:numId w:val="11"/>
        </w:numPr>
        <w:rPr>
          <w:rFonts w:cstheme="minorHAnsi"/>
        </w:rPr>
      </w:pPr>
      <w:r w:rsidRPr="00D65ACD">
        <w:rPr>
          <w:rFonts w:cstheme="minorHAnsi"/>
        </w:rPr>
        <w:t>At the end of 2020-21 the NEC submitted a project proposal to replace the database and achieve digital application/file management, streamline operations, align with e-government initiatives and apply</w:t>
      </w:r>
      <w:r>
        <w:rPr>
          <w:rFonts w:cstheme="minorHAnsi"/>
        </w:rPr>
        <w:t xml:space="preserve"> LEAN</w:t>
      </w:r>
      <w:r>
        <w:rPr>
          <w:rStyle w:val="FootnoteReference"/>
          <w:rFonts w:cstheme="minorHAnsi"/>
        </w:rPr>
        <w:footnoteReference w:id="1"/>
      </w:r>
      <w:r w:rsidRPr="00D65ACD">
        <w:rPr>
          <w:rFonts w:cstheme="minorHAnsi"/>
        </w:rPr>
        <w:t xml:space="preserve"> </w:t>
      </w:r>
      <w:r w:rsidR="002E197C">
        <w:rPr>
          <w:rFonts w:cstheme="minorHAnsi"/>
        </w:rPr>
        <w:t>approaches</w:t>
      </w:r>
      <w:r w:rsidRPr="00D65ACD">
        <w:rPr>
          <w:rFonts w:cstheme="minorHAnsi"/>
        </w:rPr>
        <w:t xml:space="preserve">.  </w:t>
      </w:r>
    </w:p>
    <w:p w14:paraId="5D0AF073" w14:textId="77777777" w:rsidR="00A064B5" w:rsidRPr="00D65ACD" w:rsidRDefault="00A064B5" w:rsidP="00231517">
      <w:pPr>
        <w:pStyle w:val="ListParagraph"/>
        <w:ind w:left="1080"/>
        <w:rPr>
          <w:rFonts w:cstheme="minorHAnsi"/>
        </w:rPr>
      </w:pPr>
      <w:r w:rsidRPr="00D65ACD">
        <w:rPr>
          <w:rFonts w:cstheme="minorHAnsi"/>
        </w:rPr>
        <w:t xml:space="preserve"> </w:t>
      </w:r>
    </w:p>
    <w:p w14:paraId="07B765FD" w14:textId="77777777" w:rsidR="00A064B5" w:rsidRPr="00D65ACD" w:rsidRDefault="00A064B5" w:rsidP="00231517">
      <w:pPr>
        <w:pStyle w:val="ListParagraph"/>
        <w:numPr>
          <w:ilvl w:val="0"/>
          <w:numId w:val="10"/>
        </w:numPr>
        <w:rPr>
          <w:rFonts w:cstheme="minorHAnsi"/>
          <w:b/>
          <w:bCs/>
        </w:rPr>
      </w:pPr>
      <w:r w:rsidRPr="00D65ACD">
        <w:rPr>
          <w:rFonts w:cstheme="minorHAnsi"/>
          <w:b/>
          <w:bCs/>
        </w:rPr>
        <w:t>Enhancements to the existing permit application database</w:t>
      </w:r>
    </w:p>
    <w:p w14:paraId="21D05834" w14:textId="77777777" w:rsidR="00A064B5" w:rsidRPr="00D65ACD" w:rsidRDefault="00A064B5" w:rsidP="00231517">
      <w:pPr>
        <w:pStyle w:val="ListParagraph"/>
        <w:numPr>
          <w:ilvl w:val="0"/>
          <w:numId w:val="12"/>
        </w:numPr>
        <w:spacing w:after="0"/>
        <w:rPr>
          <w:rFonts w:eastAsiaTheme="minorEastAsia"/>
          <w:b/>
          <w:bCs/>
          <w:szCs w:val="24"/>
        </w:rPr>
      </w:pPr>
      <w:r w:rsidRPr="00D65ACD">
        <w:rPr>
          <w:szCs w:val="24"/>
          <w:lang w:val="en-US"/>
        </w:rPr>
        <w:t>The existing development permit database is a critical application that is utilized by NEC staff daily.  Until a new system is developed, the NEC has undertaken a process to clean up the data and to maintain and enhance the existing permit application database to ensure it is operating as efficiently as possible.</w:t>
      </w:r>
    </w:p>
    <w:p w14:paraId="50D48CB2" w14:textId="77777777" w:rsidR="00A064B5" w:rsidRPr="00D65ACD" w:rsidRDefault="00A064B5" w:rsidP="00231517">
      <w:pPr>
        <w:pStyle w:val="ListParagraph"/>
        <w:numPr>
          <w:ilvl w:val="0"/>
          <w:numId w:val="12"/>
        </w:numPr>
        <w:spacing w:after="0"/>
        <w:rPr>
          <w:rFonts w:eastAsiaTheme="minorEastAsia"/>
          <w:szCs w:val="24"/>
        </w:rPr>
      </w:pPr>
      <w:r w:rsidRPr="00D65ACD">
        <w:rPr>
          <w:szCs w:val="24"/>
        </w:rPr>
        <w:t xml:space="preserve">Overall, the process has led to a better representation of current active applications within the database, which has supported the setting of priorities and the triaging of development permits. It has also enabled better oversight </w:t>
      </w:r>
      <w:r w:rsidRPr="00D65ACD">
        <w:rPr>
          <w:szCs w:val="24"/>
        </w:rPr>
        <w:lastRenderedPageBreak/>
        <w:t>and quality control of the development permit process, thereby improving service delivery.</w:t>
      </w:r>
    </w:p>
    <w:p w14:paraId="05265F49" w14:textId="77777777" w:rsidR="00A064B5" w:rsidRPr="00D65ACD" w:rsidRDefault="00A064B5" w:rsidP="00231517">
      <w:pPr>
        <w:spacing w:after="0"/>
        <w:ind w:left="360"/>
        <w:rPr>
          <w:szCs w:val="24"/>
        </w:rPr>
      </w:pPr>
    </w:p>
    <w:p w14:paraId="2C222619" w14:textId="77777777" w:rsidR="00A064B5" w:rsidRPr="00D65ACD" w:rsidRDefault="00A064B5" w:rsidP="00231517">
      <w:pPr>
        <w:rPr>
          <w:rFonts w:cstheme="minorHAnsi"/>
        </w:rPr>
      </w:pPr>
      <w:r w:rsidRPr="00D65ACD">
        <w:rPr>
          <w:rFonts w:cstheme="minorHAnsi"/>
        </w:rPr>
        <w:t>In 2020-21, the NEC also undertook the following information management and information technology initiatives:</w:t>
      </w:r>
    </w:p>
    <w:p w14:paraId="351C57DD" w14:textId="77777777" w:rsidR="00A064B5" w:rsidRPr="00D65ACD" w:rsidRDefault="00A064B5" w:rsidP="00231517">
      <w:pPr>
        <w:pStyle w:val="ListParagraph"/>
        <w:numPr>
          <w:ilvl w:val="0"/>
          <w:numId w:val="9"/>
        </w:numPr>
        <w:spacing w:after="0"/>
        <w:jc w:val="both"/>
        <w:rPr>
          <w:b/>
          <w:szCs w:val="24"/>
        </w:rPr>
      </w:pPr>
      <w:r w:rsidRPr="00D65ACD">
        <w:rPr>
          <w:b/>
          <w:szCs w:val="24"/>
        </w:rPr>
        <w:t xml:space="preserve">Enabling all staff to work from home </w:t>
      </w:r>
    </w:p>
    <w:p w14:paraId="1B637767" w14:textId="77777777" w:rsidR="00A064B5" w:rsidRPr="00D65ACD" w:rsidRDefault="00A064B5" w:rsidP="00231517">
      <w:pPr>
        <w:pStyle w:val="ListParagraph"/>
        <w:numPr>
          <w:ilvl w:val="0"/>
          <w:numId w:val="14"/>
        </w:numPr>
        <w:spacing w:after="0"/>
        <w:jc w:val="both"/>
        <w:rPr>
          <w:szCs w:val="24"/>
        </w:rPr>
      </w:pPr>
      <w:r w:rsidRPr="00D65ACD">
        <w:rPr>
          <w:szCs w:val="24"/>
        </w:rPr>
        <w:t>Hardware essentials, such as remote computers and VPNs, were provided to staff in a timely manner. New equipment needs were identified, including phones, headsets, and webcams, were ordered to be directly delivered to staff houses. Hardware set-up support was provided remotely and upon request by NEC’s GIS, IM and IT Unit.</w:t>
      </w:r>
    </w:p>
    <w:p w14:paraId="51E87426" w14:textId="77777777" w:rsidR="00A064B5" w:rsidRPr="00D65ACD" w:rsidRDefault="00A064B5" w:rsidP="00231517">
      <w:pPr>
        <w:pStyle w:val="ListParagraph"/>
        <w:numPr>
          <w:ilvl w:val="0"/>
          <w:numId w:val="14"/>
        </w:numPr>
        <w:spacing w:after="0"/>
        <w:jc w:val="both"/>
        <w:rPr>
          <w:szCs w:val="24"/>
        </w:rPr>
      </w:pPr>
      <w:r w:rsidRPr="00D65ACD">
        <w:rPr>
          <w:szCs w:val="24"/>
        </w:rPr>
        <w:t>Office 365 allowed NEC staff to facilitate work from home during the COVID-19 emergency period. Microsoft Outlook on the web gave staff quick access to emails, calendar, and contacts from any location and on any device. Microsoft OneDrive and SharePoint provided secure cloud storage for files, giving staff the convenience of accessing files, sharing documents and collaborating with colleagues.</w:t>
      </w:r>
    </w:p>
    <w:p w14:paraId="5DBCA574" w14:textId="77777777" w:rsidR="00A064B5" w:rsidRPr="00D65ACD" w:rsidRDefault="00A064B5" w:rsidP="00231517">
      <w:pPr>
        <w:pStyle w:val="ListParagraph"/>
        <w:numPr>
          <w:ilvl w:val="0"/>
          <w:numId w:val="14"/>
        </w:numPr>
        <w:rPr>
          <w:szCs w:val="24"/>
        </w:rPr>
      </w:pPr>
      <w:r w:rsidRPr="00D65ACD">
        <w:rPr>
          <w:szCs w:val="24"/>
        </w:rPr>
        <w:t xml:space="preserve">Digital communication allowed efficient teamwork to take place while working remotely. Microsoft Teams played a major role in maintaining close communication and collaboration among staff through group chats, audio and video calls and file sharing. GIS, IM and IT team could remotely assist staff solving technical difficulties with ease. Reports, maps and other documents were shared and updated through Teams Group. </w:t>
      </w:r>
    </w:p>
    <w:p w14:paraId="29243034" w14:textId="77777777" w:rsidR="00A064B5" w:rsidRPr="00D65ACD" w:rsidRDefault="00A064B5" w:rsidP="00231517">
      <w:pPr>
        <w:pStyle w:val="ListParagraph"/>
        <w:numPr>
          <w:ilvl w:val="0"/>
          <w:numId w:val="14"/>
        </w:numPr>
        <w:spacing w:after="0"/>
        <w:jc w:val="both"/>
        <w:rPr>
          <w:rFonts w:eastAsiaTheme="minorEastAsia"/>
          <w:szCs w:val="24"/>
        </w:rPr>
      </w:pPr>
      <w:bookmarkStart w:id="47" w:name="_Hlk71895700"/>
      <w:r w:rsidRPr="00D65ACD">
        <w:rPr>
          <w:rFonts w:eastAsiaTheme="minorEastAsia"/>
          <w:szCs w:val="24"/>
        </w:rPr>
        <w:t>In 2020-21, the NEC continued to adopt new process to improve remote work environment. ArcGIS Online web Map Viewer was developed as a more efficient alternative to ArcMap Desktop when NEC staff are working from home. It gave staff access to mapping information remotely without the need of a VPN.</w:t>
      </w:r>
      <w:r w:rsidRPr="00D65ACD">
        <w:t xml:space="preserve"> </w:t>
      </w:r>
      <w:r w:rsidRPr="00D65ACD">
        <w:rPr>
          <w:rFonts w:eastAsiaTheme="minorEastAsia"/>
          <w:szCs w:val="24"/>
        </w:rPr>
        <w:t>ArcGIS Online web Map Viewer also assisted NEC staff when dealing with telephone or email inquiries by being able to quickly pull up mapping information. The efficiencies gained freed up NEC staff time to focus on other areas of our core business.</w:t>
      </w:r>
    </w:p>
    <w:p w14:paraId="6C5A054B" w14:textId="62580AEF" w:rsidR="00A064B5" w:rsidRPr="00D65ACD" w:rsidRDefault="00A064B5" w:rsidP="00231517">
      <w:pPr>
        <w:pStyle w:val="ListParagraph"/>
        <w:numPr>
          <w:ilvl w:val="0"/>
          <w:numId w:val="9"/>
        </w:numPr>
        <w:spacing w:before="120" w:after="0"/>
        <w:contextualSpacing w:val="0"/>
        <w:jc w:val="both"/>
        <w:rPr>
          <w:b/>
          <w:szCs w:val="24"/>
        </w:rPr>
      </w:pPr>
      <w:bookmarkStart w:id="48" w:name="_Hlk71895159"/>
      <w:bookmarkEnd w:id="47"/>
      <w:bookmarkEnd w:id="48"/>
      <w:r w:rsidRPr="00D65ACD">
        <w:rPr>
          <w:b/>
          <w:szCs w:val="24"/>
        </w:rPr>
        <w:t xml:space="preserve">Adopting </w:t>
      </w:r>
      <w:r w:rsidR="002F4EDF">
        <w:rPr>
          <w:b/>
          <w:szCs w:val="24"/>
        </w:rPr>
        <w:t>V</w:t>
      </w:r>
      <w:r w:rsidRPr="00D65ACD">
        <w:rPr>
          <w:b/>
          <w:szCs w:val="24"/>
        </w:rPr>
        <w:t xml:space="preserve">irtual Commission Meetings </w:t>
      </w:r>
    </w:p>
    <w:p w14:paraId="5489F63F" w14:textId="77777777" w:rsidR="00A064B5" w:rsidRPr="00D65ACD" w:rsidRDefault="00A064B5" w:rsidP="00231517">
      <w:pPr>
        <w:pStyle w:val="ListParagraph"/>
        <w:numPr>
          <w:ilvl w:val="0"/>
          <w:numId w:val="15"/>
        </w:numPr>
        <w:spacing w:after="0"/>
        <w:rPr>
          <w:bCs/>
          <w:szCs w:val="24"/>
        </w:rPr>
      </w:pPr>
      <w:r w:rsidRPr="00D65ACD">
        <w:rPr>
          <w:bCs/>
          <w:szCs w:val="24"/>
        </w:rPr>
        <w:t>Due to restrictions related to COVID-19, the NEC was unable to convene regular in-person commission meetings in 2020-21. However, the NEC has implemented a successful process to host virtual Commission meetings via WebEx, a</w:t>
      </w:r>
      <w:r w:rsidRPr="00D65ACD">
        <w:t xml:space="preserve"> </w:t>
      </w:r>
      <w:r w:rsidRPr="00D65ACD">
        <w:rPr>
          <w:bCs/>
          <w:szCs w:val="24"/>
        </w:rPr>
        <w:t>video conferencing platform, where commissioners were able to consider Development Permit Application and discuss policy items over the internet. Members of the public also had the ability to listen and/or watch meeting proceedings and participate, where appropriate.</w:t>
      </w:r>
    </w:p>
    <w:p w14:paraId="4BB8AD39" w14:textId="77777777" w:rsidR="00A064B5" w:rsidRPr="00D65ACD" w:rsidRDefault="00A064B5" w:rsidP="00231517">
      <w:pPr>
        <w:pStyle w:val="ListParagraph"/>
        <w:numPr>
          <w:ilvl w:val="0"/>
          <w:numId w:val="15"/>
        </w:numPr>
        <w:spacing w:after="0"/>
        <w:rPr>
          <w:bCs/>
          <w:szCs w:val="24"/>
        </w:rPr>
      </w:pPr>
      <w:r w:rsidRPr="00D65ACD">
        <w:rPr>
          <w:bCs/>
          <w:szCs w:val="24"/>
        </w:rPr>
        <w:lastRenderedPageBreak/>
        <w:t>The NEC initially implemented virtual meetings to enable critical or time sensitive matters to be dealt through commission meetings. The success of WebEx and organization of the first virtual meeting led Commissioners to request a regular virtual meeting schedule through WebEx.</w:t>
      </w:r>
    </w:p>
    <w:p w14:paraId="06DA317D" w14:textId="77777777" w:rsidR="00A064B5" w:rsidRDefault="00A064B5" w:rsidP="00231517">
      <w:pPr>
        <w:pStyle w:val="ListParagraph"/>
        <w:numPr>
          <w:ilvl w:val="0"/>
          <w:numId w:val="15"/>
        </w:numPr>
        <w:rPr>
          <w:bCs/>
          <w:szCs w:val="24"/>
        </w:rPr>
      </w:pPr>
      <w:r w:rsidRPr="00D65ACD">
        <w:rPr>
          <w:bCs/>
          <w:szCs w:val="24"/>
        </w:rPr>
        <w:t xml:space="preserve">Virtual commission meetings functioned in place of regular in-person meetings to the maximum degrees possible. Practical and technical challenges were carefully assessed, mitigated and resolved by NEC’s GIS, IM and IT unit prior to meetings. For instance, meeting participants were contacted by NEC’s GIS, IM and IT staff member via email to arrange a connectivity test prior to the meeting to ensure full participate.  </w:t>
      </w:r>
    </w:p>
    <w:p w14:paraId="7BA92A59" w14:textId="77777777" w:rsidR="00A064B5" w:rsidRPr="00D65ACD" w:rsidRDefault="00A064B5" w:rsidP="00231517">
      <w:pPr>
        <w:pStyle w:val="ListParagraph"/>
        <w:ind w:left="1080"/>
        <w:rPr>
          <w:bCs/>
          <w:szCs w:val="24"/>
        </w:rPr>
      </w:pPr>
    </w:p>
    <w:p w14:paraId="23CAA367" w14:textId="77777777" w:rsidR="00A064B5" w:rsidRPr="00D65ACD" w:rsidRDefault="00A064B5" w:rsidP="00231517">
      <w:pPr>
        <w:pStyle w:val="ListParagraph"/>
        <w:numPr>
          <w:ilvl w:val="0"/>
          <w:numId w:val="9"/>
        </w:numPr>
        <w:spacing w:after="0"/>
        <w:jc w:val="both"/>
        <w:rPr>
          <w:b/>
          <w:szCs w:val="24"/>
        </w:rPr>
      </w:pPr>
      <w:r w:rsidRPr="00D65ACD">
        <w:rPr>
          <w:b/>
          <w:szCs w:val="24"/>
        </w:rPr>
        <w:t>Geocortex Web Mapping Tool</w:t>
      </w:r>
    </w:p>
    <w:p w14:paraId="2FEB5EB1" w14:textId="19D8E2D8" w:rsidR="00A064B5" w:rsidRPr="00D65ACD" w:rsidRDefault="00A064B5" w:rsidP="00231517">
      <w:pPr>
        <w:pStyle w:val="ListParagraph"/>
        <w:numPr>
          <w:ilvl w:val="0"/>
          <w:numId w:val="13"/>
        </w:numPr>
        <w:rPr>
          <w:rFonts w:cstheme="minorHAnsi"/>
        </w:rPr>
      </w:pPr>
      <w:r w:rsidRPr="00D65ACD">
        <w:rPr>
          <w:rFonts w:cstheme="minorHAnsi"/>
        </w:rPr>
        <w:t xml:space="preserve">In 2019-20, the NEC submitted and received approval for a project through </w:t>
      </w:r>
      <w:r w:rsidR="00673302">
        <w:rPr>
          <w:rFonts w:cstheme="minorHAnsi"/>
        </w:rPr>
        <w:t>NDMNRF</w:t>
      </w:r>
      <w:r w:rsidRPr="00D65ACD">
        <w:rPr>
          <w:rFonts w:cstheme="minorHAnsi"/>
        </w:rPr>
        <w:t xml:space="preserve">’s IM &amp; IT committee which replaces NEC’s existing Google Maps API Web mapping tool with a modern digital platform, such as the Geocortex framework.  </w:t>
      </w:r>
    </w:p>
    <w:p w14:paraId="739C6F95" w14:textId="77777777" w:rsidR="00A064B5" w:rsidRPr="00D65ACD" w:rsidRDefault="00A064B5" w:rsidP="00231517">
      <w:pPr>
        <w:pStyle w:val="ListParagraph"/>
        <w:numPr>
          <w:ilvl w:val="0"/>
          <w:numId w:val="13"/>
        </w:numPr>
        <w:rPr>
          <w:rFonts w:cstheme="minorHAnsi"/>
        </w:rPr>
      </w:pPr>
      <w:r w:rsidRPr="00D65ACD">
        <w:rPr>
          <w:rFonts w:cstheme="minorHAnsi"/>
        </w:rPr>
        <w:t>In 2020-21, the NEC worked with LRC to develop and implement the application using an agile and user-centred approach.</w:t>
      </w:r>
      <w:r w:rsidRPr="00D65ACD">
        <w:t xml:space="preserve"> </w:t>
      </w:r>
      <w:r w:rsidRPr="00D65ACD">
        <w:rPr>
          <w:szCs w:val="24"/>
        </w:rPr>
        <w:t xml:space="preserve">After </w:t>
      </w:r>
      <w:r w:rsidRPr="00D65ACD">
        <w:rPr>
          <w:rFonts w:cstheme="minorHAnsi"/>
        </w:rPr>
        <w:t>the application was launched as a beta for live testing in February, it underwent comprehensive testing for functionality and user experience. Usability and accessibility were improved based on user feedback.</w:t>
      </w:r>
    </w:p>
    <w:p w14:paraId="5371ABAD" w14:textId="77777777" w:rsidR="00A064B5" w:rsidRPr="00D65ACD" w:rsidRDefault="00A064B5" w:rsidP="00231517">
      <w:pPr>
        <w:pStyle w:val="ListParagraph"/>
        <w:numPr>
          <w:ilvl w:val="0"/>
          <w:numId w:val="13"/>
        </w:numPr>
        <w:rPr>
          <w:rFonts w:cstheme="minorHAnsi"/>
        </w:rPr>
      </w:pPr>
      <w:r w:rsidRPr="00D65ACD">
        <w:rPr>
          <w:rFonts w:cstheme="minorHAnsi"/>
        </w:rPr>
        <w:t xml:space="preserve">The application will be made available to the public through NEC’s website in 2021-22. The outcome of the successful launch of this application is a user-centric web mapping application </w:t>
      </w:r>
      <w:bookmarkStart w:id="49" w:name="_Hlk71799048"/>
      <w:r w:rsidRPr="00D65ACD">
        <w:rPr>
          <w:rFonts w:cstheme="minorHAnsi"/>
        </w:rPr>
        <w:t>which will provide advanced mapping functionality for external and internal users.</w:t>
      </w:r>
    </w:p>
    <w:p w14:paraId="4AD3F220" w14:textId="77777777" w:rsidR="00A064B5" w:rsidRDefault="00A064B5" w:rsidP="00231517">
      <w:pPr>
        <w:pStyle w:val="ListParagraph"/>
        <w:numPr>
          <w:ilvl w:val="0"/>
          <w:numId w:val="13"/>
        </w:numPr>
        <w:rPr>
          <w:rFonts w:cstheme="minorHAnsi"/>
        </w:rPr>
      </w:pPr>
      <w:r w:rsidRPr="00D65ACD">
        <w:rPr>
          <w:rFonts w:cstheme="minorHAnsi"/>
        </w:rPr>
        <w:t xml:space="preserve">The application will enable the public, applicants and agencies to self-serve and gain access to the information they require, </w:t>
      </w:r>
      <w:bookmarkEnd w:id="49"/>
      <w:r w:rsidRPr="00D65ACD">
        <w:rPr>
          <w:rFonts w:cstheme="minorHAnsi"/>
        </w:rPr>
        <w:t xml:space="preserve">thus reducing the amount of inquires the NEC receives and improving efficiencies to existing NEC’s business process. It will also allow the NEC to respond to inquiries in a timelier fashion thereby improving service delivery. </w:t>
      </w:r>
    </w:p>
    <w:p w14:paraId="3FFC8D24" w14:textId="77777777" w:rsidR="00A064B5" w:rsidRPr="00CC2290" w:rsidRDefault="00A064B5" w:rsidP="00231517">
      <w:pPr>
        <w:pStyle w:val="ListParagraph"/>
        <w:ind w:left="1080"/>
        <w:rPr>
          <w:rFonts w:cstheme="minorHAnsi"/>
        </w:rPr>
      </w:pPr>
    </w:p>
    <w:p w14:paraId="56BF7DE9" w14:textId="77777777" w:rsidR="00A064B5" w:rsidRPr="00D65ACD" w:rsidRDefault="00A064B5" w:rsidP="00231517">
      <w:pPr>
        <w:pStyle w:val="ListParagraph"/>
        <w:numPr>
          <w:ilvl w:val="0"/>
          <w:numId w:val="9"/>
        </w:numPr>
        <w:spacing w:after="0"/>
        <w:jc w:val="both"/>
        <w:rPr>
          <w:b/>
          <w:szCs w:val="24"/>
        </w:rPr>
      </w:pPr>
      <w:r>
        <w:rPr>
          <w:b/>
          <w:szCs w:val="24"/>
        </w:rPr>
        <w:t>Removal of Telephone Landlines</w:t>
      </w:r>
    </w:p>
    <w:p w14:paraId="12EF58F1" w14:textId="7051AA9D" w:rsidR="00D130F2" w:rsidRPr="00540F2F" w:rsidRDefault="00A064B5" w:rsidP="00231517">
      <w:pPr>
        <w:pStyle w:val="ListParagraph"/>
        <w:numPr>
          <w:ilvl w:val="0"/>
          <w:numId w:val="13"/>
        </w:numPr>
        <w:rPr>
          <w:rFonts w:cstheme="minorHAnsi"/>
        </w:rPr>
      </w:pPr>
      <w:r w:rsidRPr="00540F2F">
        <w:rPr>
          <w:rFonts w:cstheme="minorHAnsi"/>
        </w:rPr>
        <w:t>In 2020-21 the NEC made the decision to remove the majority of its landlines and shift all staff to cell phones.  The central office inquiry phone lines remain in place.  This shift is in line with broader OPS initiatives, supported remote work by staff and resulted in cost savings.</w:t>
      </w:r>
      <w:r w:rsidR="00D130F2" w:rsidRPr="00540F2F">
        <w:rPr>
          <w:rFonts w:cstheme="minorHAnsi"/>
        </w:rPr>
        <w:br w:type="page"/>
      </w:r>
    </w:p>
    <w:p w14:paraId="09081014" w14:textId="3545A9D0" w:rsidR="00A064B5" w:rsidRPr="00B90D1B" w:rsidRDefault="00A064B5" w:rsidP="00151508">
      <w:pPr>
        <w:pStyle w:val="Heading2"/>
        <w:numPr>
          <w:ilvl w:val="0"/>
          <w:numId w:val="21"/>
        </w:numPr>
      </w:pPr>
      <w:bookmarkStart w:id="50" w:name="_Toc44333618"/>
      <w:bookmarkStart w:id="51" w:name="_Toc74895902"/>
      <w:r w:rsidRPr="00E13D9D">
        <w:lastRenderedPageBreak/>
        <w:t>Promote the NEC</w:t>
      </w:r>
      <w:bookmarkEnd w:id="50"/>
      <w:bookmarkEnd w:id="51"/>
    </w:p>
    <w:p w14:paraId="1E2B801E" w14:textId="77777777" w:rsidR="00231517" w:rsidRPr="00231517" w:rsidRDefault="00231517" w:rsidP="00A064B5">
      <w:pPr>
        <w:rPr>
          <w:rFonts w:cstheme="minorHAnsi"/>
          <w:sz w:val="2"/>
          <w:szCs w:val="2"/>
        </w:rPr>
      </w:pPr>
    </w:p>
    <w:p w14:paraId="155D7615" w14:textId="487A7D73" w:rsidR="00A064B5" w:rsidRPr="00B90D1B" w:rsidRDefault="00A064B5" w:rsidP="00231517">
      <w:pPr>
        <w:rPr>
          <w:rFonts w:cstheme="minorHAnsi"/>
          <w:szCs w:val="24"/>
          <w:lang w:val="en-US"/>
        </w:rPr>
      </w:pPr>
      <w:r w:rsidRPr="00B90D1B">
        <w:rPr>
          <w:rFonts w:cstheme="minorHAnsi"/>
          <w:szCs w:val="24"/>
        </w:rPr>
        <w:t xml:space="preserve">With the updated NEP becoming effective June 1, 2017, a key focus of the NEC’s Operational Strategy has been to educate the agency’s customers, stakeholders and regulatory partners to ensure the efficient implementation of the NEP.  </w:t>
      </w:r>
      <w:r w:rsidRPr="00B90D1B">
        <w:rPr>
          <w:rFonts w:cstheme="minorHAnsi"/>
          <w:szCs w:val="24"/>
          <w:lang w:val="en-US"/>
        </w:rPr>
        <w:t>The NEC’s new team-based approach is aimed at improving communication of NEC programs and services. The designated teams are the “one-stop shop” for assigned regions within the NEP area and are responsible for fielding inquiries and representing the NEC on local committees, working groups and other outreach opportunities.</w:t>
      </w:r>
    </w:p>
    <w:p w14:paraId="3D87C8EE" w14:textId="77777777" w:rsidR="00A064B5" w:rsidRPr="00B90D1B" w:rsidRDefault="00A064B5" w:rsidP="00231517">
      <w:pPr>
        <w:jc w:val="both"/>
        <w:rPr>
          <w:rFonts w:cstheme="minorHAnsi"/>
          <w:szCs w:val="24"/>
        </w:rPr>
      </w:pPr>
      <w:r w:rsidRPr="00B90D1B">
        <w:rPr>
          <w:rFonts w:cstheme="minorHAnsi"/>
          <w:szCs w:val="24"/>
        </w:rPr>
        <w:t>In the past few years, the NEC hosted a series of larger multi-disciplinary events geared toward introducing the new policies of the NEP.  In 2020-2021, the COVID-19 pandemic challenged the NEC to explore a more digital approach to outreach.  NEC staff met “virtually”, in a limited capacity, with smaller groups on specific topics of focus. The following table lists the most significant educational/outreach sessions NEC staff held in 2020-2021.</w:t>
      </w:r>
    </w:p>
    <w:tbl>
      <w:tblPr>
        <w:tblStyle w:val="TableGrid"/>
        <w:tblW w:w="9747" w:type="dxa"/>
        <w:tblLook w:val="04A0" w:firstRow="1" w:lastRow="0" w:firstColumn="1" w:lastColumn="0" w:noHBand="0" w:noVBand="1"/>
      </w:tblPr>
      <w:tblGrid>
        <w:gridCol w:w="2241"/>
        <w:gridCol w:w="4419"/>
        <w:gridCol w:w="3087"/>
      </w:tblGrid>
      <w:tr w:rsidR="00A064B5" w:rsidRPr="007418D8" w14:paraId="3FED86B0" w14:textId="77777777" w:rsidTr="00AB2342">
        <w:trPr>
          <w:tblHeader/>
        </w:trPr>
        <w:tc>
          <w:tcPr>
            <w:tcW w:w="2241" w:type="dxa"/>
            <w:shd w:val="clear" w:color="auto" w:fill="F8F8F8" w:themeFill="accent1" w:themeFillTint="33"/>
          </w:tcPr>
          <w:p w14:paraId="1D341DBB" w14:textId="77777777" w:rsidR="00A064B5" w:rsidRPr="007418D8" w:rsidRDefault="00A064B5" w:rsidP="00AB2342">
            <w:pPr>
              <w:jc w:val="both"/>
              <w:rPr>
                <w:rFonts w:cstheme="minorHAnsi"/>
                <w:b/>
                <w:szCs w:val="24"/>
              </w:rPr>
            </w:pPr>
            <w:r w:rsidRPr="007418D8">
              <w:rPr>
                <w:rFonts w:cstheme="minorHAnsi"/>
                <w:b/>
                <w:szCs w:val="24"/>
              </w:rPr>
              <w:t>TEAM</w:t>
            </w:r>
          </w:p>
        </w:tc>
        <w:tc>
          <w:tcPr>
            <w:tcW w:w="4419" w:type="dxa"/>
            <w:shd w:val="clear" w:color="auto" w:fill="F8F8F8" w:themeFill="accent1" w:themeFillTint="33"/>
          </w:tcPr>
          <w:p w14:paraId="736540D5" w14:textId="77777777" w:rsidR="00A064B5" w:rsidRPr="007418D8" w:rsidRDefault="00A064B5" w:rsidP="00AB2342">
            <w:pPr>
              <w:jc w:val="both"/>
              <w:rPr>
                <w:rFonts w:cstheme="minorHAnsi"/>
                <w:b/>
                <w:szCs w:val="24"/>
              </w:rPr>
            </w:pPr>
            <w:r w:rsidRPr="007418D8">
              <w:rPr>
                <w:rFonts w:cstheme="minorHAnsi"/>
                <w:b/>
                <w:szCs w:val="24"/>
              </w:rPr>
              <w:t>EVENT</w:t>
            </w:r>
          </w:p>
        </w:tc>
        <w:tc>
          <w:tcPr>
            <w:tcW w:w="3087" w:type="dxa"/>
            <w:shd w:val="clear" w:color="auto" w:fill="F8F8F8" w:themeFill="accent1" w:themeFillTint="33"/>
          </w:tcPr>
          <w:p w14:paraId="0E752A89" w14:textId="77777777" w:rsidR="00A064B5" w:rsidRPr="007418D8" w:rsidRDefault="00A064B5" w:rsidP="00AB2342">
            <w:pPr>
              <w:jc w:val="both"/>
              <w:rPr>
                <w:rFonts w:cstheme="minorHAnsi"/>
                <w:b/>
                <w:szCs w:val="24"/>
              </w:rPr>
            </w:pPr>
            <w:r w:rsidRPr="007418D8">
              <w:rPr>
                <w:rFonts w:cstheme="minorHAnsi"/>
                <w:b/>
                <w:szCs w:val="24"/>
              </w:rPr>
              <w:t>PURPOSE</w:t>
            </w:r>
          </w:p>
        </w:tc>
      </w:tr>
      <w:tr w:rsidR="00A064B5" w:rsidRPr="007418D8" w14:paraId="365A1A9E" w14:textId="77777777" w:rsidTr="00AB2342">
        <w:tc>
          <w:tcPr>
            <w:tcW w:w="2241" w:type="dxa"/>
          </w:tcPr>
          <w:p w14:paraId="1654DB44" w14:textId="77777777" w:rsidR="00A064B5" w:rsidRPr="007418D8" w:rsidRDefault="00A064B5" w:rsidP="00AB2342">
            <w:pPr>
              <w:rPr>
                <w:szCs w:val="24"/>
              </w:rPr>
            </w:pPr>
            <w:r w:rsidRPr="007418D8">
              <w:rPr>
                <w:szCs w:val="24"/>
              </w:rPr>
              <w:t>South</w:t>
            </w:r>
          </w:p>
        </w:tc>
        <w:tc>
          <w:tcPr>
            <w:tcW w:w="4419" w:type="dxa"/>
          </w:tcPr>
          <w:p w14:paraId="506C8490" w14:textId="77777777" w:rsidR="00A064B5" w:rsidRPr="007418D8" w:rsidRDefault="00A064B5" w:rsidP="00AB2342">
            <w:pPr>
              <w:jc w:val="both"/>
              <w:rPr>
                <w:szCs w:val="24"/>
              </w:rPr>
            </w:pPr>
            <w:r w:rsidRPr="007418D8">
              <w:rPr>
                <w:szCs w:val="24"/>
              </w:rPr>
              <w:t xml:space="preserve">Bruce Trail Conservancy Land Acquisition Meeting </w:t>
            </w:r>
          </w:p>
        </w:tc>
        <w:tc>
          <w:tcPr>
            <w:tcW w:w="3087" w:type="dxa"/>
          </w:tcPr>
          <w:p w14:paraId="6E265F60" w14:textId="77777777" w:rsidR="00A064B5" w:rsidRPr="007418D8" w:rsidRDefault="00A064B5" w:rsidP="00AB2342">
            <w:pPr>
              <w:rPr>
                <w:szCs w:val="24"/>
              </w:rPr>
            </w:pPr>
            <w:r w:rsidRPr="007418D8">
              <w:rPr>
                <w:szCs w:val="24"/>
              </w:rPr>
              <w:t>NEP Policies</w:t>
            </w:r>
          </w:p>
          <w:p w14:paraId="5125E8A0" w14:textId="77777777" w:rsidR="00A064B5" w:rsidRPr="007418D8" w:rsidRDefault="00A064B5" w:rsidP="00AB2342">
            <w:pPr>
              <w:rPr>
                <w:szCs w:val="24"/>
              </w:rPr>
            </w:pPr>
            <w:r w:rsidRPr="007418D8">
              <w:rPr>
                <w:szCs w:val="24"/>
              </w:rPr>
              <w:t>DPA Process</w:t>
            </w:r>
          </w:p>
        </w:tc>
      </w:tr>
      <w:tr w:rsidR="00A064B5" w:rsidRPr="007418D8" w14:paraId="6C365FDB" w14:textId="77777777" w:rsidTr="00AB2342">
        <w:tc>
          <w:tcPr>
            <w:tcW w:w="2241" w:type="dxa"/>
          </w:tcPr>
          <w:p w14:paraId="39BBE6BB" w14:textId="77777777" w:rsidR="00A064B5" w:rsidRPr="007418D8" w:rsidRDefault="00A064B5" w:rsidP="00AB2342">
            <w:pPr>
              <w:spacing w:after="200" w:line="276" w:lineRule="auto"/>
              <w:jc w:val="both"/>
              <w:rPr>
                <w:rFonts w:ascii="Calibri" w:eastAsia="Calibri" w:hAnsi="Calibri" w:cs="Calibri"/>
                <w:szCs w:val="24"/>
              </w:rPr>
            </w:pPr>
            <w:r w:rsidRPr="007418D8">
              <w:rPr>
                <w:szCs w:val="24"/>
              </w:rPr>
              <w:t>South</w:t>
            </w:r>
          </w:p>
        </w:tc>
        <w:tc>
          <w:tcPr>
            <w:tcW w:w="4419" w:type="dxa"/>
          </w:tcPr>
          <w:p w14:paraId="788F6AC6" w14:textId="77777777" w:rsidR="00A064B5" w:rsidRPr="007418D8" w:rsidRDefault="00A064B5" w:rsidP="00AB2342">
            <w:pPr>
              <w:spacing w:after="200" w:line="276" w:lineRule="auto"/>
              <w:jc w:val="both"/>
              <w:rPr>
                <w:szCs w:val="24"/>
              </w:rPr>
            </w:pPr>
            <w:r w:rsidRPr="007418D8">
              <w:rPr>
                <w:szCs w:val="24"/>
              </w:rPr>
              <w:t xml:space="preserve">Canadian Institute of Planning Webinar </w:t>
            </w:r>
          </w:p>
        </w:tc>
        <w:tc>
          <w:tcPr>
            <w:tcW w:w="3087" w:type="dxa"/>
          </w:tcPr>
          <w:p w14:paraId="31001BC7" w14:textId="77777777" w:rsidR="00A064B5" w:rsidRPr="007418D8" w:rsidRDefault="00A064B5" w:rsidP="00AB2342">
            <w:pPr>
              <w:spacing w:after="200"/>
              <w:rPr>
                <w:szCs w:val="24"/>
              </w:rPr>
            </w:pPr>
            <w:r w:rsidRPr="007418D8">
              <w:rPr>
                <w:szCs w:val="24"/>
              </w:rPr>
              <w:t>Impacts of COVID-19 pandemic on land-use planning</w:t>
            </w:r>
          </w:p>
        </w:tc>
      </w:tr>
      <w:tr w:rsidR="00A064B5" w:rsidRPr="007418D8" w14:paraId="7976FCCA" w14:textId="77777777" w:rsidTr="00AB2342">
        <w:tc>
          <w:tcPr>
            <w:tcW w:w="2241" w:type="dxa"/>
          </w:tcPr>
          <w:p w14:paraId="7D084818" w14:textId="77777777" w:rsidR="00A064B5" w:rsidRPr="007418D8" w:rsidRDefault="00A064B5" w:rsidP="00AB2342">
            <w:pPr>
              <w:jc w:val="both"/>
              <w:rPr>
                <w:szCs w:val="24"/>
              </w:rPr>
            </w:pPr>
            <w:r w:rsidRPr="007418D8">
              <w:rPr>
                <w:szCs w:val="24"/>
              </w:rPr>
              <w:t>General</w:t>
            </w:r>
          </w:p>
        </w:tc>
        <w:tc>
          <w:tcPr>
            <w:tcW w:w="4419" w:type="dxa"/>
          </w:tcPr>
          <w:p w14:paraId="41C2C485" w14:textId="77777777" w:rsidR="00A064B5" w:rsidRPr="007418D8" w:rsidRDefault="00A064B5" w:rsidP="00AB2342">
            <w:pPr>
              <w:spacing w:after="200" w:line="276" w:lineRule="auto"/>
              <w:jc w:val="both"/>
              <w:rPr>
                <w:szCs w:val="24"/>
              </w:rPr>
            </w:pPr>
            <w:r w:rsidRPr="007418D8">
              <w:rPr>
                <w:szCs w:val="24"/>
              </w:rPr>
              <w:t>Bruce Trail Conservancy</w:t>
            </w:r>
          </w:p>
        </w:tc>
        <w:tc>
          <w:tcPr>
            <w:tcW w:w="3087" w:type="dxa"/>
          </w:tcPr>
          <w:p w14:paraId="67F9E945" w14:textId="77777777" w:rsidR="00A064B5" w:rsidRPr="007418D8" w:rsidRDefault="00A064B5" w:rsidP="00AB2342">
            <w:pPr>
              <w:spacing w:after="200" w:line="276" w:lineRule="auto"/>
              <w:rPr>
                <w:rFonts w:ascii="Calibri" w:eastAsia="Calibri" w:hAnsi="Calibri" w:cs="Calibri"/>
                <w:szCs w:val="24"/>
              </w:rPr>
            </w:pPr>
            <w:r w:rsidRPr="007418D8">
              <w:rPr>
                <w:szCs w:val="24"/>
              </w:rPr>
              <w:t>Discuss areas of collaboration and shared interest.</w:t>
            </w:r>
          </w:p>
        </w:tc>
      </w:tr>
      <w:tr w:rsidR="00A064B5" w:rsidRPr="007418D8" w14:paraId="69C45380" w14:textId="77777777" w:rsidTr="00AB2342">
        <w:tc>
          <w:tcPr>
            <w:tcW w:w="2241" w:type="dxa"/>
          </w:tcPr>
          <w:p w14:paraId="64CCD3D5" w14:textId="77777777" w:rsidR="00A064B5" w:rsidRPr="007418D8" w:rsidRDefault="00A064B5" w:rsidP="00AB2342">
            <w:pPr>
              <w:spacing w:after="200" w:line="276" w:lineRule="auto"/>
              <w:jc w:val="both"/>
              <w:rPr>
                <w:rFonts w:ascii="Calibri" w:eastAsia="Calibri" w:hAnsi="Calibri" w:cs="Calibri"/>
                <w:szCs w:val="24"/>
              </w:rPr>
            </w:pPr>
            <w:r w:rsidRPr="007418D8">
              <w:rPr>
                <w:szCs w:val="24"/>
              </w:rPr>
              <w:t>Central</w:t>
            </w:r>
          </w:p>
        </w:tc>
        <w:tc>
          <w:tcPr>
            <w:tcW w:w="4419" w:type="dxa"/>
          </w:tcPr>
          <w:p w14:paraId="20E7755D" w14:textId="77777777" w:rsidR="00A064B5" w:rsidRPr="007418D8" w:rsidRDefault="00A064B5" w:rsidP="00AB2342">
            <w:pPr>
              <w:jc w:val="both"/>
              <w:rPr>
                <w:szCs w:val="24"/>
              </w:rPr>
            </w:pPr>
            <w:r w:rsidRPr="007418D8">
              <w:rPr>
                <w:szCs w:val="24"/>
              </w:rPr>
              <w:t>Halton Natural Advisory Committee</w:t>
            </w:r>
          </w:p>
        </w:tc>
        <w:tc>
          <w:tcPr>
            <w:tcW w:w="3087" w:type="dxa"/>
          </w:tcPr>
          <w:p w14:paraId="6A8E223C" w14:textId="77777777" w:rsidR="00A064B5" w:rsidRPr="007418D8" w:rsidRDefault="00A064B5" w:rsidP="00AB2342">
            <w:pPr>
              <w:spacing w:after="200" w:line="276" w:lineRule="auto"/>
              <w:rPr>
                <w:rFonts w:ascii="Calibri" w:eastAsia="Calibri" w:hAnsi="Calibri" w:cs="Calibri"/>
                <w:szCs w:val="24"/>
              </w:rPr>
            </w:pPr>
            <w:r w:rsidRPr="007418D8">
              <w:rPr>
                <w:szCs w:val="24"/>
              </w:rPr>
              <w:t>Participated in a review and discussion of the 2021 Halton Natural Advisory Committee.</w:t>
            </w:r>
          </w:p>
        </w:tc>
      </w:tr>
      <w:tr w:rsidR="00A064B5" w:rsidRPr="007418D8" w14:paraId="6B55AC8E" w14:textId="77777777" w:rsidTr="00AB2342">
        <w:tc>
          <w:tcPr>
            <w:tcW w:w="2241" w:type="dxa"/>
          </w:tcPr>
          <w:p w14:paraId="2BC4516F" w14:textId="77777777" w:rsidR="00A064B5" w:rsidRPr="007418D8" w:rsidRDefault="00A064B5" w:rsidP="00AB2342">
            <w:pPr>
              <w:spacing w:after="200" w:line="276" w:lineRule="auto"/>
              <w:jc w:val="both"/>
              <w:rPr>
                <w:rFonts w:ascii="Calibri" w:eastAsia="Calibri" w:hAnsi="Calibri" w:cs="Calibri"/>
                <w:szCs w:val="24"/>
              </w:rPr>
            </w:pPr>
            <w:r w:rsidRPr="007418D8">
              <w:rPr>
                <w:szCs w:val="24"/>
              </w:rPr>
              <w:t>North</w:t>
            </w:r>
          </w:p>
        </w:tc>
        <w:tc>
          <w:tcPr>
            <w:tcW w:w="4419" w:type="dxa"/>
          </w:tcPr>
          <w:p w14:paraId="2574D370" w14:textId="77777777" w:rsidR="00A064B5" w:rsidRPr="007418D8" w:rsidRDefault="00A064B5" w:rsidP="00AB2342">
            <w:pPr>
              <w:spacing w:after="200" w:line="276" w:lineRule="auto"/>
              <w:jc w:val="both"/>
              <w:rPr>
                <w:szCs w:val="24"/>
              </w:rPr>
            </w:pPr>
            <w:r w:rsidRPr="007418D8">
              <w:rPr>
                <w:szCs w:val="24"/>
              </w:rPr>
              <w:t>Town of Blue Mountains “Data Walk”</w:t>
            </w:r>
          </w:p>
        </w:tc>
        <w:tc>
          <w:tcPr>
            <w:tcW w:w="3087" w:type="dxa"/>
          </w:tcPr>
          <w:p w14:paraId="0DE02770" w14:textId="77777777" w:rsidR="00A064B5" w:rsidRPr="007418D8" w:rsidRDefault="00A064B5" w:rsidP="00AB2342">
            <w:pPr>
              <w:rPr>
                <w:rFonts w:cstheme="minorHAnsi"/>
                <w:szCs w:val="24"/>
              </w:rPr>
            </w:pPr>
            <w:r w:rsidRPr="007418D8">
              <w:rPr>
                <w:rFonts w:cstheme="minorHAnsi"/>
                <w:szCs w:val="24"/>
              </w:rPr>
              <w:t xml:space="preserve">Participated in a workshop to establish a Blue Mountains Community Sustainability Plan.  </w:t>
            </w:r>
          </w:p>
        </w:tc>
      </w:tr>
      <w:tr w:rsidR="00A064B5" w:rsidRPr="007418D8" w14:paraId="5B8D1456" w14:textId="77777777" w:rsidTr="00AB2342">
        <w:tc>
          <w:tcPr>
            <w:tcW w:w="2241" w:type="dxa"/>
          </w:tcPr>
          <w:p w14:paraId="50C9BE9E" w14:textId="77777777" w:rsidR="00A064B5" w:rsidRPr="007418D8" w:rsidRDefault="00A064B5" w:rsidP="00AB2342">
            <w:pPr>
              <w:spacing w:after="200" w:line="276" w:lineRule="auto"/>
              <w:jc w:val="both"/>
              <w:rPr>
                <w:rFonts w:ascii="Calibri" w:eastAsia="Calibri" w:hAnsi="Calibri" w:cs="Calibri"/>
                <w:szCs w:val="24"/>
              </w:rPr>
            </w:pPr>
            <w:r w:rsidRPr="007418D8">
              <w:rPr>
                <w:szCs w:val="24"/>
              </w:rPr>
              <w:t>Central</w:t>
            </w:r>
          </w:p>
        </w:tc>
        <w:tc>
          <w:tcPr>
            <w:tcW w:w="4419" w:type="dxa"/>
          </w:tcPr>
          <w:p w14:paraId="66A29720" w14:textId="77777777" w:rsidR="00A064B5" w:rsidRPr="007418D8" w:rsidRDefault="00A064B5" w:rsidP="00AB2342">
            <w:pPr>
              <w:spacing w:after="200" w:line="276" w:lineRule="auto"/>
              <w:jc w:val="both"/>
              <w:rPr>
                <w:rFonts w:ascii="Calibri" w:eastAsia="Calibri" w:hAnsi="Calibri" w:cs="Calibri"/>
                <w:szCs w:val="24"/>
              </w:rPr>
            </w:pPr>
            <w:r w:rsidRPr="007418D8">
              <w:rPr>
                <w:szCs w:val="24"/>
              </w:rPr>
              <w:t>University of Guelph – Rural Planning</w:t>
            </w:r>
          </w:p>
        </w:tc>
        <w:tc>
          <w:tcPr>
            <w:tcW w:w="3087" w:type="dxa"/>
          </w:tcPr>
          <w:p w14:paraId="068C9DC4" w14:textId="77777777" w:rsidR="00A064B5" w:rsidRPr="007418D8" w:rsidRDefault="00A064B5" w:rsidP="00AB2342">
            <w:pPr>
              <w:spacing w:after="200" w:line="276" w:lineRule="auto"/>
              <w:rPr>
                <w:szCs w:val="24"/>
              </w:rPr>
            </w:pPr>
            <w:r w:rsidRPr="007418D8">
              <w:rPr>
                <w:szCs w:val="24"/>
              </w:rPr>
              <w:t>Presentation on Provincial Land Use planning policies. (NEP Policies)</w:t>
            </w:r>
          </w:p>
        </w:tc>
      </w:tr>
      <w:tr w:rsidR="00A064B5" w:rsidRPr="007418D8" w14:paraId="37D87797" w14:textId="77777777" w:rsidTr="00AB2342">
        <w:tc>
          <w:tcPr>
            <w:tcW w:w="2241" w:type="dxa"/>
          </w:tcPr>
          <w:p w14:paraId="4E52008E" w14:textId="77777777" w:rsidR="00A064B5" w:rsidRPr="007418D8" w:rsidRDefault="00A064B5" w:rsidP="00AB2342">
            <w:pPr>
              <w:jc w:val="both"/>
              <w:rPr>
                <w:szCs w:val="24"/>
              </w:rPr>
            </w:pPr>
            <w:r w:rsidRPr="007418D8">
              <w:rPr>
                <w:szCs w:val="24"/>
              </w:rPr>
              <w:t>Central</w:t>
            </w:r>
          </w:p>
        </w:tc>
        <w:tc>
          <w:tcPr>
            <w:tcW w:w="4419" w:type="dxa"/>
          </w:tcPr>
          <w:p w14:paraId="3AEC3535" w14:textId="77777777" w:rsidR="00A064B5" w:rsidRPr="007418D8" w:rsidRDefault="00A064B5" w:rsidP="00AB2342">
            <w:pPr>
              <w:jc w:val="both"/>
              <w:rPr>
                <w:szCs w:val="24"/>
              </w:rPr>
            </w:pPr>
            <w:r w:rsidRPr="007418D8">
              <w:rPr>
                <w:szCs w:val="24"/>
              </w:rPr>
              <w:t>University of Toronto – Environmental Planning Program</w:t>
            </w:r>
          </w:p>
        </w:tc>
        <w:tc>
          <w:tcPr>
            <w:tcW w:w="3087" w:type="dxa"/>
          </w:tcPr>
          <w:p w14:paraId="12C20221" w14:textId="77777777" w:rsidR="00A064B5" w:rsidRPr="007418D8" w:rsidRDefault="00A064B5" w:rsidP="00AB2342">
            <w:pPr>
              <w:rPr>
                <w:szCs w:val="24"/>
              </w:rPr>
            </w:pPr>
            <w:r w:rsidRPr="007418D8">
              <w:rPr>
                <w:szCs w:val="24"/>
              </w:rPr>
              <w:t>Presentation on Provincial Land Use planning policies.  (NEP Policies)</w:t>
            </w:r>
          </w:p>
        </w:tc>
      </w:tr>
      <w:tr w:rsidR="00A064B5" w:rsidRPr="007418D8" w14:paraId="6F1204AA" w14:textId="77777777" w:rsidTr="00AB2342">
        <w:tc>
          <w:tcPr>
            <w:tcW w:w="2241" w:type="dxa"/>
          </w:tcPr>
          <w:p w14:paraId="0670C043" w14:textId="77777777" w:rsidR="00A064B5" w:rsidRPr="007418D8" w:rsidRDefault="00A064B5" w:rsidP="00AB2342">
            <w:pPr>
              <w:spacing w:after="200" w:line="276" w:lineRule="auto"/>
              <w:rPr>
                <w:szCs w:val="24"/>
              </w:rPr>
            </w:pPr>
            <w:r w:rsidRPr="007418D8">
              <w:rPr>
                <w:szCs w:val="24"/>
              </w:rPr>
              <w:lastRenderedPageBreak/>
              <w:t>Central</w:t>
            </w:r>
          </w:p>
        </w:tc>
        <w:tc>
          <w:tcPr>
            <w:tcW w:w="4419" w:type="dxa"/>
          </w:tcPr>
          <w:p w14:paraId="2E8C8D1A" w14:textId="77777777" w:rsidR="00A064B5" w:rsidRPr="007418D8" w:rsidRDefault="00A064B5" w:rsidP="00AB2342">
            <w:pPr>
              <w:jc w:val="both"/>
              <w:rPr>
                <w:szCs w:val="24"/>
              </w:rPr>
            </w:pPr>
            <w:r w:rsidRPr="007418D8">
              <w:rPr>
                <w:szCs w:val="24"/>
              </w:rPr>
              <w:t>Milton Quarry Community Advisory Panel</w:t>
            </w:r>
          </w:p>
        </w:tc>
        <w:tc>
          <w:tcPr>
            <w:tcW w:w="3087" w:type="dxa"/>
          </w:tcPr>
          <w:p w14:paraId="610DF237" w14:textId="77777777" w:rsidR="00A064B5" w:rsidRPr="007418D8" w:rsidRDefault="00A064B5" w:rsidP="00AB2342">
            <w:pPr>
              <w:rPr>
                <w:szCs w:val="24"/>
              </w:rPr>
            </w:pPr>
            <w:r w:rsidRPr="007418D8">
              <w:rPr>
                <w:szCs w:val="24"/>
              </w:rPr>
              <w:t>Discussion on Milton Quarry expansion.  (NEP Policies)</w:t>
            </w:r>
          </w:p>
        </w:tc>
      </w:tr>
      <w:tr w:rsidR="00A064B5" w:rsidRPr="007418D8" w14:paraId="5BE3412A" w14:textId="77777777" w:rsidTr="00AB2342">
        <w:tc>
          <w:tcPr>
            <w:tcW w:w="2241" w:type="dxa"/>
          </w:tcPr>
          <w:p w14:paraId="2149E20C" w14:textId="77777777" w:rsidR="00A064B5" w:rsidRPr="007418D8" w:rsidRDefault="00A064B5" w:rsidP="00AB2342">
            <w:pPr>
              <w:spacing w:after="200" w:line="276" w:lineRule="auto"/>
              <w:jc w:val="both"/>
              <w:rPr>
                <w:rFonts w:ascii="Calibri" w:eastAsia="Calibri" w:hAnsi="Calibri" w:cs="Calibri"/>
                <w:szCs w:val="24"/>
              </w:rPr>
            </w:pPr>
            <w:r w:rsidRPr="007418D8">
              <w:rPr>
                <w:szCs w:val="24"/>
              </w:rPr>
              <w:t>North</w:t>
            </w:r>
          </w:p>
        </w:tc>
        <w:tc>
          <w:tcPr>
            <w:tcW w:w="4419" w:type="dxa"/>
          </w:tcPr>
          <w:p w14:paraId="2A71BC9A" w14:textId="308328E0" w:rsidR="00A064B5" w:rsidRPr="007418D8" w:rsidRDefault="00A064B5" w:rsidP="00AB2342">
            <w:pPr>
              <w:spacing w:after="200" w:line="276" w:lineRule="auto"/>
              <w:jc w:val="both"/>
              <w:rPr>
                <w:rFonts w:ascii="Calibri" w:eastAsia="Calibri" w:hAnsi="Calibri" w:cs="Calibri"/>
                <w:szCs w:val="24"/>
              </w:rPr>
            </w:pPr>
            <w:r w:rsidRPr="007418D8">
              <w:rPr>
                <w:szCs w:val="24"/>
              </w:rPr>
              <w:t xml:space="preserve">Multiple Stakeholders: Bruce Trail Conservancy, Grey County, Grey Highlands, </w:t>
            </w:r>
            <w:r w:rsidR="00673302">
              <w:rPr>
                <w:szCs w:val="24"/>
              </w:rPr>
              <w:t>NDMNRF</w:t>
            </w:r>
            <w:r w:rsidRPr="007418D8">
              <w:rPr>
                <w:szCs w:val="24"/>
              </w:rPr>
              <w:t>, and MECP</w:t>
            </w:r>
          </w:p>
        </w:tc>
        <w:tc>
          <w:tcPr>
            <w:tcW w:w="3087" w:type="dxa"/>
          </w:tcPr>
          <w:p w14:paraId="685D3C68" w14:textId="77777777" w:rsidR="00A064B5" w:rsidRPr="007418D8" w:rsidRDefault="00A064B5" w:rsidP="00AB2342">
            <w:pPr>
              <w:spacing w:after="200" w:line="276" w:lineRule="auto"/>
              <w:rPr>
                <w:szCs w:val="24"/>
              </w:rPr>
            </w:pPr>
            <w:r w:rsidRPr="007418D8">
              <w:rPr>
                <w:szCs w:val="24"/>
              </w:rPr>
              <w:t>Discussion of plans to expand Bruce Trail system</w:t>
            </w:r>
          </w:p>
        </w:tc>
      </w:tr>
      <w:tr w:rsidR="00A064B5" w:rsidRPr="007418D8" w14:paraId="27B335D0" w14:textId="77777777" w:rsidTr="00AB2342">
        <w:tc>
          <w:tcPr>
            <w:tcW w:w="2241" w:type="dxa"/>
          </w:tcPr>
          <w:p w14:paraId="3847CADD" w14:textId="77777777" w:rsidR="00A064B5" w:rsidRPr="007418D8" w:rsidRDefault="00A064B5" w:rsidP="00AB2342">
            <w:pPr>
              <w:spacing w:after="200" w:line="276" w:lineRule="auto"/>
              <w:jc w:val="both"/>
              <w:rPr>
                <w:rFonts w:ascii="Calibri" w:eastAsia="Calibri" w:hAnsi="Calibri" w:cs="Calibri"/>
                <w:szCs w:val="24"/>
              </w:rPr>
            </w:pPr>
            <w:r w:rsidRPr="007418D8">
              <w:rPr>
                <w:szCs w:val="24"/>
              </w:rPr>
              <w:t>General</w:t>
            </w:r>
          </w:p>
        </w:tc>
        <w:tc>
          <w:tcPr>
            <w:tcW w:w="4419" w:type="dxa"/>
          </w:tcPr>
          <w:p w14:paraId="353E5BA0" w14:textId="77777777" w:rsidR="00A064B5" w:rsidRPr="007418D8" w:rsidRDefault="00A064B5" w:rsidP="00AB2342">
            <w:pPr>
              <w:jc w:val="both"/>
              <w:rPr>
                <w:szCs w:val="24"/>
              </w:rPr>
            </w:pPr>
            <w:r w:rsidRPr="007418D8">
              <w:rPr>
                <w:szCs w:val="24"/>
              </w:rPr>
              <w:t>Ontario Farmland Trust: Farmland 2021</w:t>
            </w:r>
          </w:p>
        </w:tc>
        <w:tc>
          <w:tcPr>
            <w:tcW w:w="3087" w:type="dxa"/>
          </w:tcPr>
          <w:p w14:paraId="344DCCB6" w14:textId="77777777" w:rsidR="00A064B5" w:rsidRPr="007418D8" w:rsidRDefault="00A064B5" w:rsidP="00AB2342">
            <w:pPr>
              <w:rPr>
                <w:rFonts w:cstheme="minorHAnsi"/>
                <w:szCs w:val="24"/>
              </w:rPr>
            </w:pPr>
            <w:r w:rsidRPr="007418D8">
              <w:rPr>
                <w:rFonts w:cstheme="minorHAnsi"/>
                <w:szCs w:val="24"/>
              </w:rPr>
              <w:t xml:space="preserve">Panel discussions on building successful province-wide agricultural systems.  </w:t>
            </w:r>
          </w:p>
        </w:tc>
      </w:tr>
    </w:tbl>
    <w:p w14:paraId="21244248" w14:textId="77777777" w:rsidR="00A064B5" w:rsidRPr="003F781C" w:rsidRDefault="00A064B5" w:rsidP="00A064B5">
      <w:pPr>
        <w:pStyle w:val="ListParagraph"/>
        <w:autoSpaceDE w:val="0"/>
        <w:autoSpaceDN w:val="0"/>
        <w:adjustRightInd w:val="0"/>
      </w:pPr>
    </w:p>
    <w:p w14:paraId="070F9635" w14:textId="77777777" w:rsidR="00A064B5" w:rsidRPr="00A165C5" w:rsidRDefault="00A064B5" w:rsidP="00F51CE7">
      <w:pPr>
        <w:pStyle w:val="Heading3"/>
      </w:pPr>
      <w:bookmarkStart w:id="52" w:name="_Toc74895903"/>
      <w:r>
        <w:t>Enhancing NEC’s Digital Products</w:t>
      </w:r>
      <w:bookmarkEnd w:id="52"/>
    </w:p>
    <w:p w14:paraId="6C20D9EF" w14:textId="77777777" w:rsidR="00052B00" w:rsidRDefault="00052B00" w:rsidP="00A064B5">
      <w:pPr>
        <w:jc w:val="both"/>
        <w:rPr>
          <w:rFonts w:cstheme="minorHAnsi"/>
          <w:b/>
          <w:bCs/>
          <w:szCs w:val="24"/>
        </w:rPr>
      </w:pPr>
    </w:p>
    <w:p w14:paraId="7862D875" w14:textId="212D9103" w:rsidR="00A064B5" w:rsidRPr="007418D8" w:rsidRDefault="00A064B5" w:rsidP="00231517">
      <w:pPr>
        <w:jc w:val="both"/>
        <w:rPr>
          <w:rFonts w:cstheme="minorHAnsi"/>
          <w:b/>
          <w:bCs/>
          <w:szCs w:val="24"/>
        </w:rPr>
      </w:pPr>
      <w:r w:rsidRPr="007418D8">
        <w:rPr>
          <w:rFonts w:cstheme="minorHAnsi"/>
          <w:b/>
          <w:bCs/>
          <w:szCs w:val="24"/>
        </w:rPr>
        <w:t>NEC Website</w:t>
      </w:r>
    </w:p>
    <w:p w14:paraId="0316F492" w14:textId="4C4F4F03" w:rsidR="00A064B5" w:rsidRPr="007418D8" w:rsidRDefault="00A064B5" w:rsidP="00231517">
      <w:pPr>
        <w:jc w:val="both"/>
        <w:rPr>
          <w:rFonts w:cstheme="minorHAnsi"/>
          <w:szCs w:val="24"/>
        </w:rPr>
      </w:pPr>
      <w:r w:rsidRPr="007418D8">
        <w:rPr>
          <w:rFonts w:cstheme="minorHAnsi"/>
          <w:szCs w:val="24"/>
        </w:rPr>
        <w:t xml:space="preserve">The NEC, with the support of </w:t>
      </w:r>
      <w:r w:rsidR="00673302">
        <w:rPr>
          <w:rFonts w:cstheme="minorHAnsi"/>
          <w:szCs w:val="24"/>
        </w:rPr>
        <w:t>NDMNRF</w:t>
      </w:r>
      <w:r w:rsidRPr="007418D8">
        <w:rPr>
          <w:rFonts w:cstheme="minorHAnsi"/>
          <w:szCs w:val="24"/>
        </w:rPr>
        <w:t xml:space="preserve">’s Communication Services Branch, began a project to refresh its website and align it with Ontario.ca. This project will create a website that provides the NEC with an opportunity to create content based on its core operational goals and deliver better communications to clients and stakeholders based on their needs.  By collaborating with </w:t>
      </w:r>
      <w:r w:rsidR="00673302">
        <w:rPr>
          <w:rFonts w:cstheme="minorHAnsi"/>
          <w:szCs w:val="24"/>
        </w:rPr>
        <w:t>NDMNRF</w:t>
      </w:r>
      <w:r w:rsidRPr="007418D8">
        <w:rPr>
          <w:rFonts w:cstheme="minorHAnsi"/>
          <w:szCs w:val="24"/>
        </w:rPr>
        <w:t xml:space="preserve">, the new website will provide easier maintenance, faster technical support and better reliability with minimal costs involved.  NEC is also working with </w:t>
      </w:r>
      <w:r w:rsidR="00673302">
        <w:rPr>
          <w:rFonts w:cstheme="minorHAnsi"/>
          <w:szCs w:val="24"/>
        </w:rPr>
        <w:t>NDMNRF</w:t>
      </w:r>
      <w:r w:rsidRPr="007418D8">
        <w:rPr>
          <w:rFonts w:cstheme="minorHAnsi"/>
          <w:szCs w:val="24"/>
        </w:rPr>
        <w:t xml:space="preserve"> staff to integrate software components available through the Ministry such as GIS mapping, in order to make accurate Niagara Escarpment information more readily available to the public and stakeholders. The new website is set to launch </w:t>
      </w:r>
      <w:r w:rsidR="00407FE1">
        <w:rPr>
          <w:rFonts w:cstheme="minorHAnsi"/>
          <w:szCs w:val="24"/>
        </w:rPr>
        <w:t xml:space="preserve">at the end of </w:t>
      </w:r>
      <w:r w:rsidRPr="007418D8">
        <w:rPr>
          <w:rFonts w:cstheme="minorHAnsi"/>
          <w:szCs w:val="24"/>
        </w:rPr>
        <w:t xml:space="preserve">the first quarter of 2021.    </w:t>
      </w:r>
    </w:p>
    <w:p w14:paraId="22B14674" w14:textId="77777777" w:rsidR="00A064B5" w:rsidRPr="007418D8" w:rsidRDefault="00A064B5" w:rsidP="00231517">
      <w:pPr>
        <w:jc w:val="both"/>
        <w:rPr>
          <w:rFonts w:cstheme="minorHAnsi"/>
          <w:b/>
          <w:bCs/>
          <w:szCs w:val="24"/>
        </w:rPr>
      </w:pPr>
      <w:r w:rsidRPr="007418D8">
        <w:rPr>
          <w:rFonts w:cstheme="minorHAnsi"/>
          <w:b/>
          <w:bCs/>
          <w:szCs w:val="24"/>
        </w:rPr>
        <w:t>Interactive Mapping Application</w:t>
      </w:r>
    </w:p>
    <w:p w14:paraId="05E89994" w14:textId="19970F24" w:rsidR="00A064B5" w:rsidRPr="007418D8" w:rsidRDefault="00A064B5" w:rsidP="00231517">
      <w:pPr>
        <w:jc w:val="both"/>
        <w:rPr>
          <w:rFonts w:cstheme="minorHAnsi"/>
          <w:szCs w:val="24"/>
        </w:rPr>
      </w:pPr>
      <w:r w:rsidRPr="007418D8">
        <w:rPr>
          <w:rFonts w:cstheme="minorHAnsi"/>
          <w:szCs w:val="24"/>
        </w:rPr>
        <w:t xml:space="preserve">As noted in the summary of Information Technology, the NEC, with support from </w:t>
      </w:r>
      <w:r w:rsidR="00673302">
        <w:rPr>
          <w:rFonts w:cstheme="minorHAnsi"/>
          <w:szCs w:val="24"/>
        </w:rPr>
        <w:t>NDMNRF</w:t>
      </w:r>
      <w:r w:rsidRPr="007418D8">
        <w:rPr>
          <w:rFonts w:cstheme="minorHAnsi"/>
          <w:szCs w:val="24"/>
        </w:rPr>
        <w:t xml:space="preserve">’s Land and Resource Cluster (LRC) received approval to begin working on an interactive mapping application designed to help clients, stakeholders and partners determine if their property was located within the Niagara Escarpment Plan Area and/or Area of Development Control.  The purpose of this application was to minimize the number of client inquiries received and to provide a more modernized online mapping application that delivered more precise Niagara Escarpment information to the public and stakeholders.  This project also supports NEC’s continued efforts at streamlining processes to realize resource efficiencies.  </w:t>
      </w:r>
    </w:p>
    <w:p w14:paraId="4758672E" w14:textId="77777777" w:rsidR="00A064B5" w:rsidRPr="007418D8" w:rsidRDefault="00A064B5" w:rsidP="00231517">
      <w:pPr>
        <w:jc w:val="both"/>
        <w:rPr>
          <w:rFonts w:cstheme="minorHAnsi"/>
          <w:szCs w:val="24"/>
        </w:rPr>
      </w:pPr>
      <w:r w:rsidRPr="007418D8">
        <w:rPr>
          <w:rFonts w:cstheme="minorHAnsi"/>
          <w:szCs w:val="24"/>
        </w:rPr>
        <w:t xml:space="preserve">The interactive mapping application will launch in tandem with the new website during the first quarter of 2021.  </w:t>
      </w:r>
    </w:p>
    <w:p w14:paraId="257B3431" w14:textId="77777777" w:rsidR="00A064B5" w:rsidRPr="007418D8" w:rsidRDefault="00A064B5" w:rsidP="00231517">
      <w:pPr>
        <w:jc w:val="both"/>
        <w:rPr>
          <w:rFonts w:cstheme="minorHAnsi"/>
          <w:b/>
          <w:bCs/>
          <w:szCs w:val="24"/>
        </w:rPr>
      </w:pPr>
      <w:r w:rsidRPr="007418D8">
        <w:rPr>
          <w:rFonts w:cstheme="minorHAnsi"/>
          <w:b/>
          <w:bCs/>
          <w:szCs w:val="24"/>
        </w:rPr>
        <w:lastRenderedPageBreak/>
        <w:t>Accessibility</w:t>
      </w:r>
    </w:p>
    <w:p w14:paraId="028E0589" w14:textId="77777777" w:rsidR="00A064B5" w:rsidRPr="007418D8" w:rsidRDefault="00A064B5" w:rsidP="00231517">
      <w:pPr>
        <w:jc w:val="both"/>
        <w:rPr>
          <w:rFonts w:cstheme="minorHAnsi"/>
          <w:szCs w:val="24"/>
        </w:rPr>
      </w:pPr>
      <w:r w:rsidRPr="007418D8">
        <w:rPr>
          <w:rFonts w:cstheme="minorHAnsi"/>
          <w:szCs w:val="24"/>
        </w:rPr>
        <w:t>As a government agency, the NEC needs to be compliant with OPS accessibility standards by 2021.  The NEC has undertaken several measures to ensure AODA compliance of its digital products:</w:t>
      </w:r>
    </w:p>
    <w:p w14:paraId="1D77020F" w14:textId="77777777" w:rsidR="00A064B5" w:rsidRPr="007418D8" w:rsidRDefault="00A064B5" w:rsidP="00231517">
      <w:pPr>
        <w:pStyle w:val="ListParagraph"/>
        <w:numPr>
          <w:ilvl w:val="0"/>
          <w:numId w:val="16"/>
        </w:numPr>
        <w:jc w:val="both"/>
        <w:rPr>
          <w:rFonts w:cstheme="minorHAnsi"/>
          <w:szCs w:val="24"/>
        </w:rPr>
      </w:pPr>
      <w:r w:rsidRPr="007418D8">
        <w:rPr>
          <w:rFonts w:cstheme="minorHAnsi"/>
          <w:szCs w:val="24"/>
        </w:rPr>
        <w:t>The new website will be designed in compliance with the WCAG 2.0 Level AA standard.</w:t>
      </w:r>
    </w:p>
    <w:p w14:paraId="7996B025" w14:textId="77777777" w:rsidR="00A064B5" w:rsidRPr="007418D8" w:rsidRDefault="00A064B5" w:rsidP="00231517">
      <w:pPr>
        <w:pStyle w:val="ListParagraph"/>
        <w:numPr>
          <w:ilvl w:val="0"/>
          <w:numId w:val="16"/>
        </w:numPr>
        <w:jc w:val="both"/>
        <w:rPr>
          <w:rFonts w:cstheme="minorHAnsi"/>
          <w:szCs w:val="24"/>
        </w:rPr>
      </w:pPr>
      <w:r w:rsidRPr="007418D8">
        <w:rPr>
          <w:rFonts w:cstheme="minorHAnsi"/>
          <w:szCs w:val="24"/>
        </w:rPr>
        <w:t xml:space="preserve">As part of its remediation plan, NEC used the vendor-of-record directory to contract an external Accessibility vendor for converting all existing PDFs housed on the website into an accessible format.  </w:t>
      </w:r>
    </w:p>
    <w:p w14:paraId="24F08337" w14:textId="77777777" w:rsidR="00A064B5" w:rsidRPr="007418D8" w:rsidRDefault="00A064B5" w:rsidP="00231517">
      <w:pPr>
        <w:pStyle w:val="ListParagraph"/>
        <w:numPr>
          <w:ilvl w:val="0"/>
          <w:numId w:val="16"/>
        </w:numPr>
        <w:jc w:val="both"/>
        <w:rPr>
          <w:rFonts w:cstheme="minorHAnsi"/>
          <w:szCs w:val="24"/>
        </w:rPr>
      </w:pPr>
      <w:r w:rsidRPr="007418D8">
        <w:rPr>
          <w:rFonts w:cstheme="minorHAnsi"/>
          <w:szCs w:val="24"/>
        </w:rPr>
        <w:t>Ongoing staff training to ensure all Commission reports are produced in an accessible format.</w:t>
      </w:r>
    </w:p>
    <w:p w14:paraId="39E68D8D" w14:textId="532CA4E1" w:rsidR="00D130F2" w:rsidRDefault="00A064B5" w:rsidP="00231517">
      <w:pPr>
        <w:pStyle w:val="ListParagraph"/>
        <w:numPr>
          <w:ilvl w:val="0"/>
          <w:numId w:val="16"/>
        </w:numPr>
        <w:jc w:val="both"/>
        <w:rPr>
          <w:rFonts w:cstheme="minorHAnsi"/>
          <w:szCs w:val="24"/>
        </w:rPr>
      </w:pPr>
      <w:r w:rsidRPr="007418D8">
        <w:rPr>
          <w:rFonts w:cstheme="minorHAnsi"/>
          <w:szCs w:val="24"/>
        </w:rPr>
        <w:t xml:space="preserve">Ongoing remediation support and consultation with both </w:t>
      </w:r>
      <w:r w:rsidR="00673302">
        <w:rPr>
          <w:rFonts w:cstheme="minorHAnsi"/>
          <w:szCs w:val="24"/>
        </w:rPr>
        <w:t>NDMNRF</w:t>
      </w:r>
      <w:r w:rsidRPr="007418D8">
        <w:rPr>
          <w:rFonts w:cstheme="minorHAnsi"/>
          <w:szCs w:val="24"/>
        </w:rPr>
        <w:t xml:space="preserve">’s Communication Services Branch and I&amp;IT’s Accessibility Centre of Excellence. </w:t>
      </w:r>
    </w:p>
    <w:p w14:paraId="05FCE043" w14:textId="3788DDB6" w:rsidR="00A064B5" w:rsidRPr="00D130F2" w:rsidRDefault="00D130F2" w:rsidP="00D130F2">
      <w:pPr>
        <w:rPr>
          <w:rFonts w:cstheme="minorHAnsi"/>
          <w:szCs w:val="24"/>
        </w:rPr>
      </w:pPr>
      <w:r>
        <w:rPr>
          <w:rFonts w:cstheme="minorHAnsi"/>
          <w:szCs w:val="24"/>
        </w:rPr>
        <w:br w:type="page"/>
      </w:r>
    </w:p>
    <w:p w14:paraId="6193324D" w14:textId="65357355" w:rsidR="00A064B5" w:rsidRPr="00C65268" w:rsidRDefault="00A064B5" w:rsidP="00151508">
      <w:pPr>
        <w:pStyle w:val="Heading2"/>
        <w:numPr>
          <w:ilvl w:val="0"/>
          <w:numId w:val="21"/>
        </w:numPr>
      </w:pPr>
      <w:bookmarkStart w:id="53" w:name="_Toc74895904"/>
      <w:r w:rsidRPr="00D72622">
        <w:lastRenderedPageBreak/>
        <w:t>Streamline and Modernize Regulations and Legislation</w:t>
      </w:r>
      <w:bookmarkEnd w:id="53"/>
    </w:p>
    <w:p w14:paraId="66FD9BAC" w14:textId="77777777" w:rsidR="00A064B5" w:rsidRDefault="00A064B5" w:rsidP="00A064B5">
      <w:pPr>
        <w:contextualSpacing/>
        <w:jc w:val="both"/>
        <w:rPr>
          <w:rFonts w:cstheme="minorHAnsi"/>
        </w:rPr>
      </w:pPr>
    </w:p>
    <w:p w14:paraId="2A49FE50" w14:textId="77777777" w:rsidR="00A064B5" w:rsidRPr="007418D8" w:rsidRDefault="00A064B5" w:rsidP="00231517">
      <w:pPr>
        <w:jc w:val="both"/>
        <w:rPr>
          <w:rFonts w:cstheme="minorHAnsi"/>
          <w:szCs w:val="24"/>
        </w:rPr>
      </w:pPr>
      <w:r w:rsidRPr="007418D8">
        <w:rPr>
          <w:rFonts w:cstheme="minorHAnsi"/>
          <w:szCs w:val="24"/>
        </w:rPr>
        <w:t>The NEP is implemented through a Development Control permit system. This process ensures that development is compatible with the Escarpment landscape, including its natural, physical and cultural environment.</w:t>
      </w:r>
    </w:p>
    <w:p w14:paraId="73ADFAF5" w14:textId="72BE2C8B" w:rsidR="00A064B5" w:rsidRPr="007418D8" w:rsidRDefault="00A064B5" w:rsidP="00231517">
      <w:pPr>
        <w:jc w:val="both"/>
        <w:rPr>
          <w:rFonts w:cstheme="minorHAnsi"/>
          <w:szCs w:val="24"/>
        </w:rPr>
      </w:pPr>
      <w:r w:rsidRPr="007418D8">
        <w:rPr>
          <w:rFonts w:cstheme="minorHAnsi"/>
          <w:szCs w:val="24"/>
        </w:rPr>
        <w:t xml:space="preserve">With support from the </w:t>
      </w:r>
      <w:r w:rsidR="00673302">
        <w:rPr>
          <w:rFonts w:cstheme="minorHAnsi"/>
          <w:szCs w:val="24"/>
        </w:rPr>
        <w:t>NDMNRF</w:t>
      </w:r>
      <w:r w:rsidRPr="007418D8">
        <w:rPr>
          <w:rFonts w:cstheme="minorHAnsi"/>
          <w:szCs w:val="24"/>
        </w:rPr>
        <w:t>, the NEC undertook a two-phased project that began in 2017-18 with the Office of the Surveyor General to develop electronic mapping of its Development Control boundary, which will provide a more accurate set of Regulation maps. Current mapping is based on “metes and bounds” word descriptions, which lacks precision and can present difficulties in confirming exact boundaries.  A digital Development Control boundary is also a key element of the NEC’s enhanced website and is necessary for future IT solutions for electronic submission of applications.</w:t>
      </w:r>
    </w:p>
    <w:p w14:paraId="7481762C" w14:textId="77777777" w:rsidR="00A064B5" w:rsidRPr="007611DC" w:rsidRDefault="00A064B5" w:rsidP="00231517">
      <w:pPr>
        <w:jc w:val="both"/>
        <w:rPr>
          <w:rFonts w:cstheme="minorHAnsi"/>
        </w:rPr>
      </w:pPr>
      <w:r w:rsidRPr="007418D8">
        <w:rPr>
          <w:rFonts w:cstheme="minorHAnsi"/>
          <w:szCs w:val="24"/>
        </w:rPr>
        <w:t>The two phases of the project are described below</w:t>
      </w:r>
      <w:r>
        <w:rPr>
          <w:rFonts w:cstheme="minorHAnsi"/>
        </w:rPr>
        <w:t>.</w:t>
      </w:r>
    </w:p>
    <w:p w14:paraId="259F68DA" w14:textId="77777777" w:rsidR="00A064B5" w:rsidRDefault="00A064B5" w:rsidP="0020563C">
      <w:pPr>
        <w:pStyle w:val="Heading3"/>
      </w:pPr>
      <w:bookmarkStart w:id="54" w:name="_Toc12440793"/>
      <w:bookmarkStart w:id="55" w:name="_Toc44333622"/>
      <w:bookmarkStart w:id="56" w:name="_Toc74895905"/>
      <w:r>
        <w:t>Phase 1 - Modernization of Regulation 826</w:t>
      </w:r>
      <w:bookmarkEnd w:id="54"/>
      <w:bookmarkEnd w:id="55"/>
      <w:bookmarkEnd w:id="56"/>
    </w:p>
    <w:p w14:paraId="6F863834" w14:textId="77777777" w:rsidR="00A064B5" w:rsidRDefault="00A064B5" w:rsidP="00A064B5">
      <w:pPr>
        <w:pStyle w:val="ListParagraph"/>
        <w:jc w:val="both"/>
      </w:pPr>
    </w:p>
    <w:p w14:paraId="0B2707E6" w14:textId="04BFC46A" w:rsidR="00A064B5" w:rsidRPr="007418D8" w:rsidRDefault="00A064B5" w:rsidP="00231517">
      <w:pPr>
        <w:pStyle w:val="ListParagraph"/>
        <w:widowControl w:val="0"/>
        <w:numPr>
          <w:ilvl w:val="0"/>
          <w:numId w:val="17"/>
        </w:numPr>
        <w:spacing w:after="0"/>
        <w:contextualSpacing w:val="0"/>
        <w:jc w:val="both"/>
        <w:rPr>
          <w:szCs w:val="24"/>
        </w:rPr>
      </w:pPr>
      <w:r w:rsidRPr="007418D8">
        <w:rPr>
          <w:szCs w:val="24"/>
        </w:rPr>
        <w:t xml:space="preserve">Working with the </w:t>
      </w:r>
      <w:r w:rsidR="00673302">
        <w:rPr>
          <w:szCs w:val="24"/>
        </w:rPr>
        <w:t>NDMNRF</w:t>
      </w:r>
      <w:r w:rsidRPr="007418D8">
        <w:rPr>
          <w:szCs w:val="24"/>
        </w:rPr>
        <w:t xml:space="preserve"> and the Office of the Surveyor General, this phase began in 2017 to create a new series of Regulation maps that will precisely define the Development Control boundary.</w:t>
      </w:r>
    </w:p>
    <w:p w14:paraId="7366B055" w14:textId="77777777" w:rsidR="00A064B5" w:rsidRPr="007418D8" w:rsidRDefault="00A064B5" w:rsidP="00231517">
      <w:pPr>
        <w:pStyle w:val="ListParagraph"/>
        <w:widowControl w:val="0"/>
        <w:numPr>
          <w:ilvl w:val="0"/>
          <w:numId w:val="17"/>
        </w:numPr>
        <w:spacing w:after="0"/>
        <w:contextualSpacing w:val="0"/>
        <w:jc w:val="both"/>
        <w:rPr>
          <w:szCs w:val="24"/>
        </w:rPr>
      </w:pPr>
      <w:r w:rsidRPr="007418D8">
        <w:rPr>
          <w:szCs w:val="24"/>
        </w:rPr>
        <w:t xml:space="preserve">The Minister’s regulation to amend Ontario Regulation 826 was approved in 2020-21.  The digital maps come will come into force July 1, 2021.  </w:t>
      </w:r>
    </w:p>
    <w:p w14:paraId="4587AC68" w14:textId="77777777" w:rsidR="00A064B5" w:rsidRDefault="00A064B5" w:rsidP="0020563C">
      <w:pPr>
        <w:pStyle w:val="Heading3"/>
      </w:pPr>
      <w:bookmarkStart w:id="57" w:name="_Toc12440794"/>
      <w:bookmarkStart w:id="58" w:name="_Toc44333623"/>
      <w:bookmarkStart w:id="59" w:name="_Toc74895906"/>
      <w:r>
        <w:t>Phase 2 - Rationalizing the Development Control Boundary</w:t>
      </w:r>
      <w:bookmarkEnd w:id="57"/>
      <w:bookmarkEnd w:id="58"/>
      <w:bookmarkEnd w:id="59"/>
    </w:p>
    <w:p w14:paraId="00EDF19E" w14:textId="77777777" w:rsidR="00A064B5" w:rsidRDefault="00A064B5" w:rsidP="00A064B5">
      <w:pPr>
        <w:pStyle w:val="ListParagraph"/>
        <w:jc w:val="both"/>
      </w:pPr>
    </w:p>
    <w:p w14:paraId="435AFA16" w14:textId="4BDEC9FC" w:rsidR="00A064B5" w:rsidRPr="007418D8" w:rsidRDefault="00A064B5" w:rsidP="00231517">
      <w:pPr>
        <w:pStyle w:val="ListParagraph"/>
        <w:widowControl w:val="0"/>
        <w:numPr>
          <w:ilvl w:val="0"/>
          <w:numId w:val="18"/>
        </w:numPr>
        <w:spacing w:after="0"/>
        <w:contextualSpacing w:val="0"/>
        <w:jc w:val="both"/>
        <w:rPr>
          <w:szCs w:val="24"/>
        </w:rPr>
      </w:pPr>
      <w:r w:rsidRPr="007418D8">
        <w:rPr>
          <w:szCs w:val="24"/>
        </w:rPr>
        <w:t xml:space="preserve">In Phase 2 of the project, the NEC, in partnership with </w:t>
      </w:r>
      <w:r w:rsidR="00673302">
        <w:rPr>
          <w:szCs w:val="24"/>
        </w:rPr>
        <w:t>NDMNRF</w:t>
      </w:r>
      <w:r w:rsidRPr="007418D8">
        <w:rPr>
          <w:szCs w:val="24"/>
        </w:rPr>
        <w:t>, proposes to begin a process to consider reducing the Development Control area in certain Minor Urban Centres, Urban Areas and Escarpment Recreation Areas.</w:t>
      </w:r>
    </w:p>
    <w:p w14:paraId="143906F9" w14:textId="6FFBEDCD" w:rsidR="00A064B5" w:rsidRPr="007418D8" w:rsidRDefault="00A064B5" w:rsidP="00231517">
      <w:pPr>
        <w:pStyle w:val="ListParagraph"/>
        <w:numPr>
          <w:ilvl w:val="0"/>
          <w:numId w:val="18"/>
        </w:numPr>
        <w:spacing w:after="0"/>
        <w:jc w:val="both"/>
        <w:rPr>
          <w:szCs w:val="24"/>
        </w:rPr>
      </w:pPr>
      <w:r w:rsidRPr="007418D8">
        <w:rPr>
          <w:szCs w:val="24"/>
        </w:rPr>
        <w:t xml:space="preserve">The NEC would develop a set of criteria under which Development Control might be lifted in those specific designations. This second phase of the initiative would include consultation with municipalities, conservation authorities, stakeholders and landowners. </w:t>
      </w:r>
    </w:p>
    <w:p w14:paraId="6ACD2963" w14:textId="77777777" w:rsidR="00A064B5" w:rsidRPr="007418D8" w:rsidRDefault="00A064B5" w:rsidP="00231517">
      <w:pPr>
        <w:pStyle w:val="ListParagraph"/>
        <w:widowControl w:val="0"/>
        <w:numPr>
          <w:ilvl w:val="0"/>
          <w:numId w:val="18"/>
        </w:numPr>
        <w:spacing w:after="0"/>
        <w:contextualSpacing w:val="0"/>
        <w:jc w:val="both"/>
        <w:rPr>
          <w:szCs w:val="24"/>
        </w:rPr>
      </w:pPr>
      <w:r w:rsidRPr="007418D8">
        <w:rPr>
          <w:szCs w:val="24"/>
        </w:rPr>
        <w:t>Municipal zoning would have to be put into place to replace the Development Control system, but the policies of the NEP would continue to apply.</w:t>
      </w:r>
    </w:p>
    <w:p w14:paraId="5BB9BE3D" w14:textId="77777777" w:rsidR="00A064B5" w:rsidRPr="007418D8" w:rsidRDefault="00A064B5" w:rsidP="00231517">
      <w:pPr>
        <w:pStyle w:val="ListParagraph"/>
        <w:widowControl w:val="0"/>
        <w:numPr>
          <w:ilvl w:val="0"/>
          <w:numId w:val="18"/>
        </w:numPr>
        <w:spacing w:after="0"/>
        <w:contextualSpacing w:val="0"/>
        <w:jc w:val="both"/>
        <w:rPr>
          <w:szCs w:val="24"/>
        </w:rPr>
      </w:pPr>
      <w:r w:rsidRPr="007418D8">
        <w:rPr>
          <w:szCs w:val="24"/>
        </w:rPr>
        <w:t>By modifying the Development Control boundary, and potentially removing it in certain urban areas, this would streamline approvals for NEC customers without diminishing environmental protection.</w:t>
      </w:r>
    </w:p>
    <w:p w14:paraId="7FC40CFD" w14:textId="3CF79A38" w:rsidR="00A064B5" w:rsidRPr="007418D8" w:rsidRDefault="00A064B5" w:rsidP="00231517">
      <w:pPr>
        <w:pStyle w:val="ListParagraph"/>
        <w:widowControl w:val="0"/>
        <w:numPr>
          <w:ilvl w:val="0"/>
          <w:numId w:val="18"/>
        </w:numPr>
        <w:spacing w:after="0"/>
        <w:contextualSpacing w:val="0"/>
        <w:jc w:val="both"/>
        <w:rPr>
          <w:szCs w:val="24"/>
        </w:rPr>
      </w:pPr>
      <w:r w:rsidRPr="007418D8">
        <w:rPr>
          <w:szCs w:val="24"/>
        </w:rPr>
        <w:t xml:space="preserve">In addition, in 2019-20 the City of Hamilton passed a resolution that City staff work with the NEC to petition the Minister of Natural Resources to include the Pleasant View area in Development Control.  The lands were added to the NEP in 2013 but have remained subject to municipal zoning.  The City has experienced challenges </w:t>
      </w:r>
      <w:r w:rsidRPr="007418D8">
        <w:rPr>
          <w:szCs w:val="24"/>
        </w:rPr>
        <w:lastRenderedPageBreak/>
        <w:t xml:space="preserve">in addressing the NEP through zoning. This request can be brought forward through Phase 2 of the Development Control Regulation.  The NEC, </w:t>
      </w:r>
      <w:r w:rsidR="00673302">
        <w:rPr>
          <w:szCs w:val="24"/>
        </w:rPr>
        <w:t>NDMNRF</w:t>
      </w:r>
      <w:r w:rsidRPr="007418D8">
        <w:rPr>
          <w:szCs w:val="24"/>
        </w:rPr>
        <w:t xml:space="preserve"> and City of Hamilton are continuing to advance inclusion in Pleasant View in the area of Development Control throughout 2020-21.</w:t>
      </w:r>
    </w:p>
    <w:p w14:paraId="1F333628" w14:textId="77777777" w:rsidR="00A064B5" w:rsidRDefault="00A064B5" w:rsidP="00A064B5">
      <w:pPr>
        <w:jc w:val="both"/>
        <w:rPr>
          <w:szCs w:val="24"/>
        </w:rPr>
      </w:pPr>
    </w:p>
    <w:p w14:paraId="0AB153E8" w14:textId="77777777" w:rsidR="00A064B5" w:rsidRDefault="00A064B5" w:rsidP="00AD01AB">
      <w:pPr>
        <w:pStyle w:val="Heading3"/>
      </w:pPr>
      <w:bookmarkStart w:id="60" w:name="_Toc44333624"/>
      <w:bookmarkStart w:id="61" w:name="_Toc74895907"/>
      <w:r>
        <w:t>Modernized Legislation</w:t>
      </w:r>
      <w:bookmarkEnd w:id="60"/>
      <w:bookmarkEnd w:id="61"/>
    </w:p>
    <w:p w14:paraId="1A8801BF" w14:textId="77777777" w:rsidR="00231517" w:rsidRPr="00231517" w:rsidRDefault="00231517" w:rsidP="00A064B5">
      <w:pPr>
        <w:jc w:val="both"/>
        <w:rPr>
          <w:sz w:val="6"/>
          <w:szCs w:val="6"/>
        </w:rPr>
      </w:pPr>
    </w:p>
    <w:p w14:paraId="4FECA7AC" w14:textId="01E42FBD" w:rsidR="00A064B5" w:rsidRPr="007418D8" w:rsidRDefault="00A064B5" w:rsidP="00231517">
      <w:pPr>
        <w:jc w:val="both"/>
        <w:rPr>
          <w:szCs w:val="24"/>
        </w:rPr>
      </w:pPr>
      <w:r w:rsidRPr="007418D8">
        <w:rPr>
          <w:szCs w:val="24"/>
        </w:rPr>
        <w:t xml:space="preserve">The NEPDA is 46 years old and largely exists today as it was written in its original form. Through decades of experience in implementing the Niagara Escarpment program, the NEC has identified several parts of the Act and Regulations that, if amended, would incrementally help to further streamline NEC processes and improve customer service. In 2018-19, NEC submitted to </w:t>
      </w:r>
      <w:r w:rsidR="00673302">
        <w:rPr>
          <w:szCs w:val="24"/>
        </w:rPr>
        <w:t>NDMNRF</w:t>
      </w:r>
      <w:r w:rsidRPr="007418D8">
        <w:rPr>
          <w:szCs w:val="24"/>
        </w:rPr>
        <w:t xml:space="preserve"> a comprehensive list of proposed amendments to the NEPDA and Regulations for consideration.</w:t>
      </w:r>
    </w:p>
    <w:p w14:paraId="44E95AC2" w14:textId="2A080D86" w:rsidR="00A064B5" w:rsidRPr="007418D8" w:rsidRDefault="00A064B5" w:rsidP="00231517">
      <w:pPr>
        <w:jc w:val="both"/>
        <w:rPr>
          <w:szCs w:val="24"/>
        </w:rPr>
      </w:pPr>
      <w:r w:rsidRPr="007418D8">
        <w:rPr>
          <w:szCs w:val="24"/>
        </w:rPr>
        <w:t xml:space="preserve">The NEC and </w:t>
      </w:r>
      <w:r w:rsidR="00673302">
        <w:rPr>
          <w:szCs w:val="24"/>
        </w:rPr>
        <w:t>NDMNRF</w:t>
      </w:r>
      <w:r w:rsidRPr="007418D8">
        <w:rPr>
          <w:szCs w:val="24"/>
        </w:rPr>
        <w:t xml:space="preserve"> continue to review and modify the suggestions for legislative changes in consideration of alignment with e-government initiatives, modifications to other planning related legislation and contemporary best practices.</w:t>
      </w:r>
    </w:p>
    <w:p w14:paraId="474BA62F" w14:textId="11FB9970" w:rsidR="00A064B5" w:rsidRDefault="00A064B5" w:rsidP="00231517">
      <w:pPr>
        <w:jc w:val="both"/>
        <w:rPr>
          <w:szCs w:val="24"/>
        </w:rPr>
      </w:pPr>
      <w:r w:rsidRPr="007418D8">
        <w:rPr>
          <w:szCs w:val="24"/>
        </w:rPr>
        <w:t xml:space="preserve">The list of proposed amendments includes a broad range of ideas including basic housekeeping changes that would clean up outdated and/or redundant processes, enhancing compliance tools to make the NEC less reliant on </w:t>
      </w:r>
      <w:r w:rsidR="00673302">
        <w:rPr>
          <w:szCs w:val="24"/>
        </w:rPr>
        <w:t>NDMNRF</w:t>
      </w:r>
      <w:r w:rsidRPr="007418D8">
        <w:rPr>
          <w:szCs w:val="24"/>
        </w:rPr>
        <w:t xml:space="preserve">, increasing the number of exemptions permitted for environmentally benign forms of development and charging application fees to bring the NEC in line with its regulatory partners while serving to mitigate the agency’s structural budget deficit.  </w:t>
      </w:r>
    </w:p>
    <w:p w14:paraId="66BC4303" w14:textId="77777777" w:rsidR="002F3AC0" w:rsidRDefault="002F3AC0">
      <w:pPr>
        <w:rPr>
          <w:rFonts w:asciiTheme="majorHAnsi" w:eastAsiaTheme="majorEastAsia" w:hAnsiTheme="majorHAnsi" w:cstheme="majorBidi"/>
          <w:b/>
          <w:bCs/>
          <w:sz w:val="28"/>
        </w:rPr>
      </w:pPr>
      <w:bookmarkStart w:id="62" w:name="_Toc44333625"/>
      <w:r>
        <w:br w:type="page"/>
      </w:r>
    </w:p>
    <w:p w14:paraId="566F4878" w14:textId="77777777" w:rsidR="0032712C" w:rsidRDefault="002F3AC0" w:rsidP="002F3AC0">
      <w:pPr>
        <w:pStyle w:val="Heading1"/>
        <w:jc w:val="left"/>
      </w:pPr>
      <w:bookmarkStart w:id="63" w:name="_Toc74895908"/>
      <w:r>
        <w:lastRenderedPageBreak/>
        <w:t>Activity Reports</w:t>
      </w:r>
      <w:bookmarkEnd w:id="63"/>
    </w:p>
    <w:p w14:paraId="1223931F" w14:textId="063BF9D7" w:rsidR="002F3AC0" w:rsidRDefault="0032712C" w:rsidP="002F3AC0">
      <w:pPr>
        <w:pStyle w:val="Heading1"/>
        <w:jc w:val="left"/>
        <w:rPr>
          <w:rFonts w:asciiTheme="majorHAnsi" w:eastAsiaTheme="majorEastAsia" w:hAnsiTheme="majorHAnsi" w:cstheme="majorBidi"/>
          <w:sz w:val="28"/>
        </w:rPr>
      </w:pPr>
      <w:bookmarkStart w:id="64" w:name="_Toc74895909"/>
      <w:r>
        <w:rPr>
          <w:noProof/>
        </w:rPr>
        <mc:AlternateContent>
          <mc:Choice Requires="wps">
            <w:drawing>
              <wp:anchor distT="0" distB="0" distL="114300" distR="114300" simplePos="0" relativeHeight="251659776" behindDoc="0" locked="0" layoutInCell="1" allowOverlap="1" wp14:anchorId="45EC6334" wp14:editId="63FC2BAF">
                <wp:simplePos x="0" y="0"/>
                <wp:positionH relativeFrom="column">
                  <wp:posOffset>0</wp:posOffset>
                </wp:positionH>
                <wp:positionV relativeFrom="paragraph">
                  <wp:posOffset>0</wp:posOffset>
                </wp:positionV>
                <wp:extent cx="6068291" cy="0"/>
                <wp:effectExtent l="0" t="0" r="0" b="0"/>
                <wp:wrapNone/>
                <wp:docPr id="17" name="Straight Connector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682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4C0B4D" id="Straight Connector 17" o:spid="_x0000_s1026" alt="&quot;&quot;"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0" to="47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" strokecolor="black [3040]"/>
            </w:pict>
          </mc:Fallback>
        </mc:AlternateContent>
      </w:r>
      <w:bookmarkEnd w:id="64"/>
      <w:r w:rsidR="002F3AC0">
        <w:br w:type="page"/>
      </w:r>
    </w:p>
    <w:p w14:paraId="1B196A6F" w14:textId="5F63C904" w:rsidR="00F06066" w:rsidRDefault="00F06066" w:rsidP="0013082F">
      <w:pPr>
        <w:pStyle w:val="Heading2"/>
      </w:pPr>
      <w:bookmarkStart w:id="65" w:name="_Toc74895910"/>
      <w:r>
        <w:lastRenderedPageBreak/>
        <w:t>Niagara Escarpment Plan Implementation</w:t>
      </w:r>
      <w:bookmarkEnd w:id="62"/>
      <w:bookmarkEnd w:id="65"/>
    </w:p>
    <w:p w14:paraId="103B74FA" w14:textId="77777777" w:rsidR="00231517" w:rsidRDefault="00231517" w:rsidP="00F06066">
      <w:pPr>
        <w:pStyle w:val="NoSpacing"/>
        <w:jc w:val="both"/>
      </w:pPr>
    </w:p>
    <w:p w14:paraId="3914DDDF" w14:textId="6050A0F3" w:rsidR="00F06066" w:rsidRPr="00DB42E5" w:rsidRDefault="00F06066" w:rsidP="0003039F">
      <w:pPr>
        <w:pStyle w:val="NoSpacing"/>
        <w:spacing w:line="276" w:lineRule="auto"/>
        <w:jc w:val="both"/>
      </w:pPr>
      <w:r w:rsidRPr="00DB42E5">
        <w:t xml:space="preserve">In May 2017, the provincial government’s Co-ordinated </w:t>
      </w:r>
      <w:r>
        <w:t xml:space="preserve">Land Use Planning </w:t>
      </w:r>
      <w:r w:rsidRPr="00DB42E5">
        <w:t xml:space="preserve">Review process came to conclusion with the release of four revised provincial land use plans: The Greenbelt Plan, the Oak Ridges Moraine Conservation Plan, the Growth Plan for the Greater Golden Horseshoe, and the NEP. </w:t>
      </w:r>
    </w:p>
    <w:p w14:paraId="70907AAB" w14:textId="77777777" w:rsidR="00F06066" w:rsidRPr="00DB42E5" w:rsidRDefault="00F06066" w:rsidP="0003039F">
      <w:pPr>
        <w:pStyle w:val="NoSpacing"/>
        <w:spacing w:line="276" w:lineRule="auto"/>
        <w:jc w:val="both"/>
      </w:pPr>
    </w:p>
    <w:p w14:paraId="71BED6F9" w14:textId="77777777" w:rsidR="00F06066" w:rsidRPr="00DB42E5" w:rsidRDefault="00F06066" w:rsidP="0003039F">
      <w:pPr>
        <w:pStyle w:val="NoSpacing"/>
        <w:spacing w:line="276" w:lineRule="auto"/>
        <w:jc w:val="both"/>
      </w:pPr>
      <w:r w:rsidRPr="00DB42E5">
        <w:t>In 20</w:t>
      </w:r>
      <w:r>
        <w:t>20-21</w:t>
      </w:r>
      <w:r w:rsidRPr="00DB42E5">
        <w:t xml:space="preserve"> the NEC continued to implement the updated NEP through its review of development permits, N</w:t>
      </w:r>
      <w:r>
        <w:t>EP</w:t>
      </w:r>
      <w:r w:rsidRPr="00DB42E5">
        <w:t xml:space="preserve"> amendments, and by commenting on a range of other applications (e.g. municipal planning applications under </w:t>
      </w:r>
      <w:r>
        <w:t>t</w:t>
      </w:r>
      <w:r w:rsidRPr="00DB42E5">
        <w:t>he Planning Act</w:t>
      </w:r>
      <w:r>
        <w:t>,</w:t>
      </w:r>
      <w:r w:rsidRPr="00DB42E5">
        <w:t xml:space="preserve"> environmental assessment</w:t>
      </w:r>
      <w:r>
        <w:t>,</w:t>
      </w:r>
      <w:r w:rsidRPr="00DB42E5">
        <w:t xml:space="preserve"> telecommunication proposals</w:t>
      </w:r>
      <w:r>
        <w:t>,</w:t>
      </w:r>
      <w:r w:rsidRPr="00DB42E5">
        <w:t xml:space="preserve"> parks and protected areas proposals</w:t>
      </w:r>
      <w:r>
        <w:t>,</w:t>
      </w:r>
      <w:r w:rsidRPr="00DB42E5">
        <w:t xml:space="preserve"> applications under the Aggregate Resources Act).  </w:t>
      </w:r>
    </w:p>
    <w:p w14:paraId="4149FB2E" w14:textId="77777777" w:rsidR="00F06066" w:rsidRPr="00DB42E5" w:rsidRDefault="00F06066" w:rsidP="0003039F">
      <w:pPr>
        <w:pStyle w:val="NoSpacing"/>
        <w:spacing w:line="276" w:lineRule="auto"/>
        <w:jc w:val="both"/>
      </w:pPr>
    </w:p>
    <w:p w14:paraId="4E35DCC4" w14:textId="7C3A1A4D" w:rsidR="00F06066" w:rsidRPr="00DB42E5" w:rsidRDefault="00F06066" w:rsidP="0003039F">
      <w:pPr>
        <w:pStyle w:val="NoSpacing"/>
        <w:spacing w:line="276" w:lineRule="auto"/>
        <w:jc w:val="both"/>
      </w:pPr>
      <w:r w:rsidRPr="00DB42E5">
        <w:t xml:space="preserve">The 2017 NEP provides for the NEC, in consultation with </w:t>
      </w:r>
      <w:r w:rsidR="00673302">
        <w:t>NDMNRF</w:t>
      </w:r>
      <w:r w:rsidRPr="00DB42E5">
        <w:t>, to prepare guidance material and technical criteria to assist with implementation of the NEP. Policy guidelines are intended to support the evaluation of development permit applications against a common set of considerations. They are intended to clarify, inform, and aid in the interpretation of NEP policies. On the other hand, technical criteria are more prescriptive in nature, and include instructional information and minimum information requirements necessary to properly evaluate development permit or amendment applications.</w:t>
      </w:r>
    </w:p>
    <w:p w14:paraId="036328DE" w14:textId="77777777" w:rsidR="00F06066" w:rsidRPr="00DB42E5" w:rsidRDefault="00F06066" w:rsidP="0003039F">
      <w:pPr>
        <w:pStyle w:val="NoSpacing"/>
        <w:spacing w:line="276" w:lineRule="auto"/>
        <w:jc w:val="both"/>
      </w:pPr>
    </w:p>
    <w:p w14:paraId="0E238213" w14:textId="77777777" w:rsidR="00F06066" w:rsidRPr="00DB42E5" w:rsidRDefault="00F06066" w:rsidP="0003039F">
      <w:pPr>
        <w:pStyle w:val="NoSpacing"/>
        <w:spacing w:line="276" w:lineRule="auto"/>
        <w:jc w:val="both"/>
      </w:pPr>
      <w:r w:rsidRPr="00DB42E5">
        <w:t>At its October 2018 meeting, the NEC passed a number of resolutions initiating the development of guidance material and technical criteria related to the following:</w:t>
      </w:r>
    </w:p>
    <w:p w14:paraId="0341D9F0" w14:textId="77777777" w:rsidR="00F06066" w:rsidRPr="00DB42E5" w:rsidRDefault="00F06066" w:rsidP="0003039F">
      <w:pPr>
        <w:pStyle w:val="NoSpacing"/>
        <w:spacing w:line="276" w:lineRule="auto"/>
        <w:jc w:val="both"/>
      </w:pPr>
    </w:p>
    <w:p w14:paraId="10528729" w14:textId="77777777" w:rsidR="00F06066" w:rsidRPr="00DB42E5" w:rsidRDefault="00F06066" w:rsidP="0003039F">
      <w:pPr>
        <w:pStyle w:val="NoSpacing"/>
        <w:numPr>
          <w:ilvl w:val="0"/>
          <w:numId w:val="4"/>
        </w:numPr>
        <w:spacing w:line="276" w:lineRule="auto"/>
        <w:jc w:val="both"/>
      </w:pPr>
      <w:r w:rsidRPr="00DB42E5">
        <w:t>Policy guidance material:</w:t>
      </w:r>
    </w:p>
    <w:p w14:paraId="4917E180" w14:textId="77777777" w:rsidR="00F06066" w:rsidRPr="00DB42E5" w:rsidRDefault="00F06066" w:rsidP="0003039F">
      <w:pPr>
        <w:pStyle w:val="NoSpacing"/>
        <w:numPr>
          <w:ilvl w:val="1"/>
          <w:numId w:val="4"/>
        </w:numPr>
        <w:spacing w:line="276" w:lineRule="auto"/>
        <w:jc w:val="both"/>
      </w:pPr>
      <w:r w:rsidRPr="00DB42E5">
        <w:t xml:space="preserve">On-farm diversified uses </w:t>
      </w:r>
    </w:p>
    <w:p w14:paraId="3432BF6C" w14:textId="77777777" w:rsidR="00F06066" w:rsidRPr="00DB42E5" w:rsidRDefault="00F06066" w:rsidP="0003039F">
      <w:pPr>
        <w:pStyle w:val="NoSpacing"/>
        <w:numPr>
          <w:ilvl w:val="1"/>
          <w:numId w:val="4"/>
        </w:numPr>
        <w:spacing w:line="276" w:lineRule="auto"/>
        <w:jc w:val="both"/>
      </w:pPr>
      <w:r>
        <w:t>D</w:t>
      </w:r>
      <w:r w:rsidRPr="00DB42E5">
        <w:t>welling units</w:t>
      </w:r>
    </w:p>
    <w:p w14:paraId="19E6567F" w14:textId="77777777" w:rsidR="00F06066" w:rsidRPr="00DB42E5" w:rsidRDefault="00F06066" w:rsidP="0003039F">
      <w:pPr>
        <w:pStyle w:val="NoSpacing"/>
        <w:numPr>
          <w:ilvl w:val="1"/>
          <w:numId w:val="4"/>
        </w:numPr>
        <w:spacing w:line="276" w:lineRule="auto"/>
        <w:jc w:val="both"/>
      </w:pPr>
      <w:r w:rsidRPr="00DB42E5">
        <w:t>Special events</w:t>
      </w:r>
    </w:p>
    <w:p w14:paraId="34910BD2" w14:textId="77777777" w:rsidR="00F06066" w:rsidRPr="00DB42E5" w:rsidRDefault="00F06066" w:rsidP="0003039F">
      <w:pPr>
        <w:pStyle w:val="NoSpacing"/>
        <w:spacing w:line="276" w:lineRule="auto"/>
        <w:ind w:left="720"/>
        <w:jc w:val="both"/>
      </w:pPr>
    </w:p>
    <w:p w14:paraId="3B7F4E48" w14:textId="77777777" w:rsidR="00F06066" w:rsidRPr="00DB42E5" w:rsidRDefault="00F06066" w:rsidP="0003039F">
      <w:pPr>
        <w:pStyle w:val="NoSpacing"/>
        <w:numPr>
          <w:ilvl w:val="0"/>
          <w:numId w:val="4"/>
        </w:numPr>
        <w:spacing w:line="276" w:lineRule="auto"/>
        <w:jc w:val="both"/>
      </w:pPr>
      <w:r w:rsidRPr="00DB42E5">
        <w:t>Technical criteria:</w:t>
      </w:r>
    </w:p>
    <w:p w14:paraId="1DEAF594" w14:textId="77777777" w:rsidR="00F06066" w:rsidRPr="00DB42E5" w:rsidRDefault="00F06066" w:rsidP="0003039F">
      <w:pPr>
        <w:pStyle w:val="NoSpacing"/>
        <w:numPr>
          <w:ilvl w:val="1"/>
          <w:numId w:val="4"/>
        </w:numPr>
        <w:spacing w:line="276" w:lineRule="auto"/>
        <w:jc w:val="both"/>
      </w:pPr>
      <w:r w:rsidRPr="00DB42E5">
        <w:t>Complete application requirements</w:t>
      </w:r>
    </w:p>
    <w:p w14:paraId="59DBE4F0" w14:textId="77777777" w:rsidR="00F06066" w:rsidRPr="00DB42E5" w:rsidRDefault="00F06066" w:rsidP="0003039F">
      <w:pPr>
        <w:pStyle w:val="NoSpacing"/>
        <w:numPr>
          <w:ilvl w:val="1"/>
          <w:numId w:val="4"/>
        </w:numPr>
        <w:spacing w:line="276" w:lineRule="auto"/>
        <w:jc w:val="both"/>
      </w:pPr>
      <w:r w:rsidRPr="00DB42E5">
        <w:t>Visual impact assessments</w:t>
      </w:r>
    </w:p>
    <w:p w14:paraId="63EAB18A" w14:textId="77777777" w:rsidR="00F06066" w:rsidRPr="00DB42E5" w:rsidRDefault="00F06066" w:rsidP="0003039F">
      <w:pPr>
        <w:pStyle w:val="NoSpacing"/>
        <w:numPr>
          <w:ilvl w:val="1"/>
          <w:numId w:val="4"/>
        </w:numPr>
        <w:spacing w:line="276" w:lineRule="auto"/>
        <w:jc w:val="both"/>
      </w:pPr>
      <w:r w:rsidRPr="00DB42E5">
        <w:t>Vegetation protection plans</w:t>
      </w:r>
      <w:r>
        <w:t xml:space="preserve"> and l</w:t>
      </w:r>
      <w:r w:rsidRPr="00DB42E5">
        <w:t>andscape construction drawings</w:t>
      </w:r>
    </w:p>
    <w:p w14:paraId="3DA9D99E" w14:textId="77777777" w:rsidR="00F06066" w:rsidRDefault="00F06066" w:rsidP="0003039F">
      <w:pPr>
        <w:pStyle w:val="NoSpacing"/>
        <w:spacing w:line="276" w:lineRule="auto"/>
        <w:jc w:val="both"/>
      </w:pPr>
    </w:p>
    <w:p w14:paraId="380E5E1D" w14:textId="77777777" w:rsidR="00F06066" w:rsidRDefault="00F06066" w:rsidP="0003039F">
      <w:pPr>
        <w:pStyle w:val="NoSpacing"/>
        <w:spacing w:line="276" w:lineRule="auto"/>
        <w:jc w:val="both"/>
      </w:pPr>
      <w:r>
        <w:t xml:space="preserve">The timing of this work was impacted due to lapsing of appointments in 2019-20.  Progress on Policy Guidance and Technical Criteria was made at the Policy Meeting in November 2020 which included: </w:t>
      </w:r>
    </w:p>
    <w:p w14:paraId="1A3D3E9A" w14:textId="77777777" w:rsidR="00F06066" w:rsidRDefault="00F06066" w:rsidP="0003039F">
      <w:pPr>
        <w:pStyle w:val="NoSpacing"/>
        <w:numPr>
          <w:ilvl w:val="0"/>
          <w:numId w:val="22"/>
        </w:numPr>
        <w:spacing w:line="276" w:lineRule="auto"/>
        <w:jc w:val="both"/>
      </w:pPr>
      <w:r>
        <w:t>receiving updated background information and context on the topics of Policy Guidance Material</w:t>
      </w:r>
    </w:p>
    <w:p w14:paraId="3A975909" w14:textId="77777777" w:rsidR="00F06066" w:rsidRDefault="00F06066" w:rsidP="0003039F">
      <w:pPr>
        <w:pStyle w:val="NoSpacing"/>
        <w:numPr>
          <w:ilvl w:val="0"/>
          <w:numId w:val="22"/>
        </w:numPr>
        <w:spacing w:line="276" w:lineRule="auto"/>
        <w:jc w:val="both"/>
      </w:pPr>
      <w:r>
        <w:t>establishing Commissioner working groups</w:t>
      </w:r>
    </w:p>
    <w:p w14:paraId="5B3F85DC" w14:textId="77777777" w:rsidR="00F06066" w:rsidRDefault="00F06066" w:rsidP="0003039F">
      <w:pPr>
        <w:pStyle w:val="NoSpacing"/>
        <w:numPr>
          <w:ilvl w:val="0"/>
          <w:numId w:val="22"/>
        </w:numPr>
        <w:spacing w:line="276" w:lineRule="auto"/>
        <w:jc w:val="both"/>
      </w:pPr>
      <w:r>
        <w:lastRenderedPageBreak/>
        <w:t xml:space="preserve">approving the Visual Impact Assessment Technical Criteria and launching their use </w:t>
      </w:r>
    </w:p>
    <w:p w14:paraId="2EFF2FBA" w14:textId="77777777" w:rsidR="00F06066" w:rsidRDefault="00F06066" w:rsidP="0003039F">
      <w:pPr>
        <w:pStyle w:val="NoSpacing"/>
        <w:numPr>
          <w:ilvl w:val="0"/>
          <w:numId w:val="22"/>
        </w:numPr>
        <w:spacing w:line="276" w:lineRule="auto"/>
        <w:jc w:val="both"/>
      </w:pPr>
      <w:r>
        <w:t xml:space="preserve">directing staff proceed with development of the remaining Technical Criteria </w:t>
      </w:r>
    </w:p>
    <w:p w14:paraId="0ED6AE24" w14:textId="77777777" w:rsidR="00F06066" w:rsidRDefault="00F06066" w:rsidP="0003039F">
      <w:pPr>
        <w:pStyle w:val="NoSpacing"/>
        <w:spacing w:line="276" w:lineRule="auto"/>
        <w:ind w:left="720"/>
        <w:jc w:val="both"/>
      </w:pPr>
    </w:p>
    <w:p w14:paraId="5CE35E10" w14:textId="77777777" w:rsidR="00F06066" w:rsidRDefault="00F06066" w:rsidP="0003039F">
      <w:pPr>
        <w:pStyle w:val="NoSpacing"/>
        <w:spacing w:line="276" w:lineRule="auto"/>
        <w:jc w:val="both"/>
      </w:pPr>
    </w:p>
    <w:p w14:paraId="199C747D" w14:textId="77777777" w:rsidR="00F06066" w:rsidRDefault="00F06066" w:rsidP="0003039F">
      <w:pPr>
        <w:pStyle w:val="NoSpacing"/>
        <w:spacing w:line="276" w:lineRule="auto"/>
        <w:jc w:val="both"/>
      </w:pPr>
      <w:r>
        <w:t xml:space="preserve">Commission staff began utilizing the Visual Impact Assessment Technical Criteria, which provides guidance to applicants for situations where scenic resources are identified as a concern.  The Commission’s Landscape Architect has worked closely with clients to successfully applied the Technical Criteria in several situations in a manner that supports new NEP policies dealing with Scenic Resources and Landform Conservation.  </w:t>
      </w:r>
    </w:p>
    <w:p w14:paraId="222DAFBC" w14:textId="77777777" w:rsidR="00F06066" w:rsidRDefault="00F06066" w:rsidP="00F06066"/>
    <w:p w14:paraId="78463CFA" w14:textId="77777777" w:rsidR="00D130F2" w:rsidRDefault="00D130F2">
      <w:pPr>
        <w:rPr>
          <w:rFonts w:asciiTheme="majorHAnsi" w:eastAsiaTheme="majorEastAsia" w:hAnsiTheme="majorHAnsi" w:cstheme="majorBidi"/>
          <w:b/>
          <w:bCs/>
          <w:sz w:val="32"/>
          <w:szCs w:val="26"/>
        </w:rPr>
      </w:pPr>
      <w:bookmarkStart w:id="66" w:name="_Toc44333626"/>
      <w:r>
        <w:br w:type="page"/>
      </w:r>
    </w:p>
    <w:p w14:paraId="4DBB8E59" w14:textId="7EE37D2E" w:rsidR="00F06066" w:rsidRDefault="00F06066" w:rsidP="009E53F2">
      <w:pPr>
        <w:pStyle w:val="Heading2"/>
      </w:pPr>
      <w:bookmarkStart w:id="67" w:name="_Toc74895911"/>
      <w:r>
        <w:lastRenderedPageBreak/>
        <w:t>Development Permit Activity</w:t>
      </w:r>
      <w:bookmarkEnd w:id="66"/>
      <w:bookmarkEnd w:id="67"/>
    </w:p>
    <w:p w14:paraId="7F4997E9" w14:textId="77777777" w:rsidR="0003039F" w:rsidRPr="0003039F" w:rsidRDefault="0003039F" w:rsidP="00F06066">
      <w:pPr>
        <w:jc w:val="both"/>
        <w:rPr>
          <w:sz w:val="10"/>
          <w:szCs w:val="8"/>
        </w:rPr>
      </w:pPr>
    </w:p>
    <w:p w14:paraId="2F50B803" w14:textId="1021E48C" w:rsidR="00F06066" w:rsidRDefault="00F06066" w:rsidP="0003039F">
      <w:pPr>
        <w:jc w:val="both"/>
      </w:pPr>
      <w:r w:rsidRPr="00DB42E5">
        <w:t>The NEPDA requires that a development permit be obtained from the NEC prior to undertaking development within the area of Development Control, unless it is exempt under Ontario Regulation 828/90.</w:t>
      </w:r>
      <w:r>
        <w:t xml:space="preserve"> </w:t>
      </w:r>
      <w:r w:rsidRPr="00DB42E5">
        <w:t xml:space="preserve">A permit is issued with terms and conditions to ensure development is </w:t>
      </w:r>
      <w:bookmarkStart w:id="68" w:name="_Hlk74577139"/>
      <w:r w:rsidRPr="00DB42E5">
        <w:t>implemented in a manner that minimizes impact to the Escarpment environment.</w:t>
      </w:r>
    </w:p>
    <w:p w14:paraId="46B01019" w14:textId="77777777" w:rsidR="00F06066" w:rsidRDefault="00F06066" w:rsidP="0003039F">
      <w:pPr>
        <w:jc w:val="both"/>
      </w:pPr>
      <w:r>
        <w:t>The continuation of emergency orders due to COVID-19 necessitated the NEC adapt some operational procedures due to address challenges experienced by the public.  These changes are summarized below.</w:t>
      </w:r>
    </w:p>
    <w:p w14:paraId="6B667415" w14:textId="77777777" w:rsidR="00F06066" w:rsidRDefault="00F06066" w:rsidP="0003039F">
      <w:pPr>
        <w:pStyle w:val="ListParagraph"/>
        <w:numPr>
          <w:ilvl w:val="0"/>
          <w:numId w:val="23"/>
        </w:numPr>
        <w:jc w:val="both"/>
      </w:pPr>
      <w:r w:rsidRPr="00DB42E5">
        <w:t xml:space="preserve">Applicants have a prescribed amount of time (normally one year) to fulfill the conditions of approval prior to issuance of a development permit. </w:t>
      </w:r>
      <w:r>
        <w:t xml:space="preserve"> This time period was extended to 1.5 years (18 months) for new Development Permit approvals in recognition of delays and complications in satisfying conditions.</w:t>
      </w:r>
    </w:p>
    <w:p w14:paraId="54804423" w14:textId="77777777" w:rsidR="00F06066" w:rsidRPr="0025349C" w:rsidRDefault="00F06066" w:rsidP="0003039F">
      <w:pPr>
        <w:pStyle w:val="ListParagraph"/>
        <w:numPr>
          <w:ilvl w:val="0"/>
          <w:numId w:val="23"/>
        </w:numPr>
        <w:jc w:val="both"/>
        <w:rPr>
          <w:rFonts w:ascii="Arial" w:hAnsi="Arial" w:cs="Arial"/>
          <w:color w:val="44546A"/>
          <w:szCs w:val="24"/>
        </w:rPr>
      </w:pPr>
      <w:r>
        <w:t xml:space="preserve">For applications that were already approved prior to onset of COVID-19, the NEC extended the timeline for conditional approval to the end </w:t>
      </w:r>
      <w:r w:rsidRPr="0025349C">
        <w:t xml:space="preserve">of 2021, by which time it is hoped that the construction industry will be functionally normally, and emergency orders related to the pandemic will no longer be </w:t>
      </w:r>
      <w:r>
        <w:t>in place</w:t>
      </w:r>
      <w:r w:rsidRPr="0025349C">
        <w:rPr>
          <w:rFonts w:ascii="Arial" w:hAnsi="Arial" w:cs="Arial"/>
          <w:color w:val="44546A"/>
          <w:szCs w:val="24"/>
        </w:rPr>
        <w:t>.</w:t>
      </w:r>
    </w:p>
    <w:bookmarkEnd w:id="68"/>
    <w:p w14:paraId="57C2CBF4" w14:textId="77777777" w:rsidR="00F06066" w:rsidRDefault="00F06066" w:rsidP="0003039F">
      <w:pPr>
        <w:ind w:left="360"/>
        <w:jc w:val="both"/>
      </w:pPr>
      <w:r w:rsidRPr="00DB42E5">
        <w:t xml:space="preserve">As indicated earlier in this report, and shown below in Figure 2, the number of development permits received by the NEC </w:t>
      </w:r>
      <w:r>
        <w:t>rose</w:t>
      </w:r>
      <w:r w:rsidRPr="00DB42E5">
        <w:t xml:space="preserve"> sharply since 2015-16 to a record level in 2017-18, with a slight reduction in 2018-19</w:t>
      </w:r>
      <w:r>
        <w:t xml:space="preserve"> and again in 2019-20</w:t>
      </w:r>
      <w:r w:rsidRPr="00DB42E5">
        <w:t xml:space="preserve">. </w:t>
      </w:r>
      <w:r>
        <w:t xml:space="preserve"> There was a significant increase in the number of new applications received in 2020-21 (an 18% increase over the previous year).  This trend is consistent with broader real estate and development activity occurring in Southern Ontario.  Within this same time period, the number of development permit applications processed has decreased.  While this decrease is slightly lower than the previous year, the increase in backlog of applications appears to be connected more to the increase volume rather than staff capacity.</w:t>
      </w:r>
    </w:p>
    <w:p w14:paraId="6717364A" w14:textId="77777777" w:rsidR="00F06066" w:rsidRDefault="00F06066" w:rsidP="00F06066">
      <w:pPr>
        <w:ind w:left="360"/>
        <w:jc w:val="both"/>
      </w:pPr>
    </w:p>
    <w:p w14:paraId="008AAF3F" w14:textId="77777777" w:rsidR="00F06066" w:rsidRDefault="00F06066" w:rsidP="00F06066">
      <w:r>
        <w:br w:type="page"/>
      </w:r>
    </w:p>
    <w:p w14:paraId="6371A8C0" w14:textId="77777777" w:rsidR="00F06066" w:rsidRPr="005316B6" w:rsidRDefault="00F06066" w:rsidP="00F06066">
      <w:pPr>
        <w:rPr>
          <w:b/>
          <w:bCs/>
          <w:szCs w:val="24"/>
        </w:rPr>
      </w:pPr>
      <w:r w:rsidRPr="005316B6">
        <w:rPr>
          <w:b/>
          <w:bCs/>
          <w:szCs w:val="24"/>
        </w:rPr>
        <w:lastRenderedPageBreak/>
        <w:t>Figure 2</w:t>
      </w:r>
    </w:p>
    <w:p w14:paraId="1A63B5AE" w14:textId="77777777" w:rsidR="00F06066" w:rsidRDefault="00F06066" w:rsidP="00F06066">
      <w:r>
        <w:rPr>
          <w:noProof/>
        </w:rPr>
        <w:drawing>
          <wp:inline distT="0" distB="0" distL="0" distR="0" wp14:anchorId="28675F1F" wp14:editId="1EF91EBF">
            <wp:extent cx="5943600" cy="3404235"/>
            <wp:effectExtent l="0" t="0" r="0" b="5715"/>
            <wp:docPr id="10" name="Chart 10" descr="Figure 2 denotes the number of development permits received by the NEC rose sharply since 2015-16 to a record level in 2017-18, with a slight reduction in 2018-19 and again in 2019-20">
              <a:extLst xmlns:a="http://schemas.openxmlformats.org/drawingml/2006/main">
                <a:ext uri="{FF2B5EF4-FFF2-40B4-BE49-F238E27FC236}">
                  <a16:creationId xmlns:a16="http://schemas.microsoft.com/office/drawing/2014/main" id="{787318C4-27E0-468D-9457-FF664F1F78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BC430F9" w14:textId="77777777" w:rsidR="000E46EA" w:rsidRDefault="000E46EA" w:rsidP="00F06066">
      <w:pPr>
        <w:jc w:val="both"/>
      </w:pPr>
    </w:p>
    <w:p w14:paraId="7E3D90AD" w14:textId="48CAEBC8" w:rsidR="00F06066" w:rsidRPr="00DB42E5" w:rsidRDefault="00F06066" w:rsidP="0003039F">
      <w:pPr>
        <w:jc w:val="both"/>
      </w:pPr>
      <w:r w:rsidRPr="00DB42E5">
        <w:t>Figures 3 and 4 below show the distribution of development permit applications (DPs) processed in 20</w:t>
      </w:r>
      <w:r>
        <w:t>19</w:t>
      </w:r>
      <w:r w:rsidRPr="00DB42E5">
        <w:t>-</w:t>
      </w:r>
      <w:r>
        <w:t>20</w:t>
      </w:r>
      <w:r w:rsidRPr="00DB42E5">
        <w:t xml:space="preserve"> and 20</w:t>
      </w:r>
      <w:r>
        <w:t>20</w:t>
      </w:r>
      <w:r w:rsidRPr="00DB42E5">
        <w:t>-20</w:t>
      </w:r>
      <w:r>
        <w:t>21</w:t>
      </w:r>
      <w:r w:rsidRPr="00DB42E5">
        <w:t xml:space="preserve"> across upper-tier municipalities.</w:t>
      </w:r>
      <w:r>
        <w:t xml:space="preserve">  While total number of applications received increase, the relative distribution across municipalities remained relatively consistent with the previous year.  The only exception is a 3% increase in the portion of applications in Grey County.  This can be attributed to the increase in real estate and development activity as people adapt to the ability to work from home and decide to relocate.</w:t>
      </w:r>
    </w:p>
    <w:p w14:paraId="53D7FA83" w14:textId="77777777" w:rsidR="00F85968" w:rsidRDefault="00F85968">
      <w:pPr>
        <w:rPr>
          <w:b/>
          <w:bCs/>
        </w:rPr>
      </w:pPr>
      <w:r>
        <w:rPr>
          <w:b/>
          <w:bCs/>
        </w:rPr>
        <w:br w:type="page"/>
      </w:r>
    </w:p>
    <w:p w14:paraId="1AE42D18" w14:textId="7C75F33E" w:rsidR="00F06066" w:rsidRDefault="00F06066" w:rsidP="00F06066">
      <w:pPr>
        <w:rPr>
          <w:b/>
          <w:bCs/>
        </w:rPr>
      </w:pPr>
      <w:r w:rsidRPr="00D86DF8">
        <w:rPr>
          <w:b/>
          <w:bCs/>
        </w:rPr>
        <w:lastRenderedPageBreak/>
        <w:t>Figure 3</w:t>
      </w:r>
    </w:p>
    <w:p w14:paraId="54019326" w14:textId="79F9A24A" w:rsidR="002C52C8" w:rsidRDefault="002C52C8" w:rsidP="00F06066">
      <w:pPr>
        <w:rPr>
          <w:b/>
          <w:bCs/>
        </w:rPr>
      </w:pPr>
      <w:r w:rsidRPr="002C52C8">
        <w:rPr>
          <w:b/>
          <w:bCs/>
          <w:noProof/>
        </w:rPr>
        <w:drawing>
          <wp:inline distT="0" distB="0" distL="0" distR="0" wp14:anchorId="78D3E458" wp14:editId="466EDF71">
            <wp:extent cx="4619501" cy="3190264"/>
            <wp:effectExtent l="0" t="0" r="0" b="0"/>
            <wp:docPr id="28" name="Picture 28" descr="Figure 3 shows the number of DPs received for 2019-2020 by Upper Tier Municip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Figure 3 shows the number of DPs received for 2019-2020 by Upper Tier Municipalities"/>
                    <pic:cNvPicPr/>
                  </pic:nvPicPr>
                  <pic:blipFill>
                    <a:blip r:embed="rId18"/>
                    <a:stretch>
                      <a:fillRect/>
                    </a:stretch>
                  </pic:blipFill>
                  <pic:spPr>
                    <a:xfrm>
                      <a:off x="0" y="0"/>
                      <a:ext cx="4650435" cy="3211628"/>
                    </a:xfrm>
                    <a:prstGeom prst="rect">
                      <a:avLst/>
                    </a:prstGeom>
                  </pic:spPr>
                </pic:pic>
              </a:graphicData>
            </a:graphic>
          </wp:inline>
        </w:drawing>
      </w:r>
    </w:p>
    <w:p w14:paraId="71EBA773" w14:textId="77777777" w:rsidR="002C52C8" w:rsidRDefault="002C52C8" w:rsidP="00F06066">
      <w:pPr>
        <w:rPr>
          <w:b/>
          <w:bCs/>
        </w:rPr>
      </w:pPr>
    </w:p>
    <w:p w14:paraId="013DBA1D" w14:textId="0C108C86" w:rsidR="00F06066" w:rsidRDefault="00F06066" w:rsidP="00F06066">
      <w:pPr>
        <w:rPr>
          <w:b/>
          <w:bCs/>
        </w:rPr>
      </w:pPr>
      <w:r w:rsidRPr="00D86DF8">
        <w:rPr>
          <w:b/>
          <w:bCs/>
        </w:rPr>
        <w:t>Figure 4</w:t>
      </w:r>
    </w:p>
    <w:p w14:paraId="3819AD72" w14:textId="5C0FFA27" w:rsidR="00F06066" w:rsidRDefault="00673302" w:rsidP="00F06066">
      <w:pPr>
        <w:rPr>
          <w:b/>
          <w:bCs/>
        </w:rPr>
      </w:pPr>
      <w:r>
        <w:rPr>
          <w:noProof/>
        </w:rPr>
        <w:drawing>
          <wp:inline distT="0" distB="0" distL="0" distR="0" wp14:anchorId="660734AE" wp14:editId="3AADB9AB">
            <wp:extent cx="4713536" cy="3724275"/>
            <wp:effectExtent l="0" t="0" r="0" b="0"/>
            <wp:docPr id="4" name="Picture 4" descr="Figure 4 shows the number of DPs received for 2020-2021 by Upper Tier Municipa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4 shows the number of DPs received for 2020-2021 by Upper Tier Municipalities"/>
                    <pic:cNvPicPr/>
                  </pic:nvPicPr>
                  <pic:blipFill rotWithShape="1">
                    <a:blip r:embed="rId19"/>
                    <a:srcRect l="44872" t="31072" r="16186" b="14197"/>
                    <a:stretch/>
                  </pic:blipFill>
                  <pic:spPr bwMode="auto">
                    <a:xfrm>
                      <a:off x="0" y="0"/>
                      <a:ext cx="4768707" cy="3767867"/>
                    </a:xfrm>
                    <a:prstGeom prst="rect">
                      <a:avLst/>
                    </a:prstGeom>
                    <a:ln>
                      <a:noFill/>
                    </a:ln>
                    <a:extLst>
                      <a:ext uri="{53640926-AAD7-44D8-BBD7-CCE9431645EC}">
                        <a14:shadowObscured xmlns:a14="http://schemas.microsoft.com/office/drawing/2010/main"/>
                      </a:ext>
                    </a:extLst>
                  </pic:spPr>
                </pic:pic>
              </a:graphicData>
            </a:graphic>
          </wp:inline>
        </w:drawing>
      </w:r>
    </w:p>
    <w:p w14:paraId="7B80152B" w14:textId="6BFC7F82" w:rsidR="00F06066" w:rsidRPr="0086092F" w:rsidRDefault="00F06066" w:rsidP="0003039F">
      <w:pPr>
        <w:jc w:val="both"/>
      </w:pPr>
      <w:r w:rsidRPr="0086092F">
        <w:lastRenderedPageBreak/>
        <w:t xml:space="preserve">Figure 5 below illustrates the types of applications received and compares the previous </w:t>
      </w:r>
      <w:r>
        <w:t>t</w:t>
      </w:r>
      <w:r w:rsidR="00AB2342">
        <w:t>wo</w:t>
      </w:r>
      <w:r>
        <w:t xml:space="preserve"> </w:t>
      </w:r>
      <w:r w:rsidRPr="0086092F">
        <w:t xml:space="preserve">fiscal years. It is important to note that development permit applications received in one fiscal year can be processed in subsequent years.  Therefore, there may be a discrepancy between the number of applications received and processed in a given year. The following are some key </w:t>
      </w:r>
      <w:r>
        <w:t>points</w:t>
      </w:r>
      <w:r w:rsidRPr="0086092F">
        <w:t>:</w:t>
      </w:r>
    </w:p>
    <w:p w14:paraId="7BB8FFA3" w14:textId="77777777" w:rsidR="00F06066" w:rsidRPr="0086092F" w:rsidRDefault="00F06066" w:rsidP="00B33B8A">
      <w:pPr>
        <w:pStyle w:val="ListParagraph"/>
        <w:widowControl w:val="0"/>
        <w:numPr>
          <w:ilvl w:val="0"/>
          <w:numId w:val="24"/>
        </w:numPr>
        <w:spacing w:after="0"/>
        <w:contextualSpacing w:val="0"/>
        <w:jc w:val="both"/>
      </w:pPr>
      <w:r w:rsidRPr="0086092F">
        <w:t>By far the highest number of applications continue to relate to residential development.  While many applications relate to renovations and accessory structures associated with existing residential development, an increasing number involve demolition of an existing, smaller house to be replaced by considerably larger residences with large accessory buildings (with many residences ranging from 5,000 to more than 20,000 square feet).</w:t>
      </w:r>
    </w:p>
    <w:p w14:paraId="03341B83" w14:textId="77777777" w:rsidR="00F06066" w:rsidRPr="0086092F" w:rsidRDefault="00F06066" w:rsidP="00B33B8A">
      <w:pPr>
        <w:pStyle w:val="ListParagraph"/>
        <w:widowControl w:val="0"/>
        <w:numPr>
          <w:ilvl w:val="0"/>
          <w:numId w:val="24"/>
        </w:numPr>
        <w:spacing w:after="0"/>
        <w:contextualSpacing w:val="0"/>
        <w:jc w:val="both"/>
      </w:pPr>
      <w:r w:rsidRPr="0086092F">
        <w:t>The number of agricultural-related applications remained relatively the same over the prior years.   Many of these involve construction of accessory structures. Some relate to the establishment of “on-farm diversified uses” and “agriculture-related uses”, which reflects new policies contained in the updated NEP.</w:t>
      </w:r>
    </w:p>
    <w:p w14:paraId="0110177B" w14:textId="77777777" w:rsidR="00F06066" w:rsidRPr="0086092F" w:rsidRDefault="00F06066" w:rsidP="00B33B8A">
      <w:pPr>
        <w:pStyle w:val="ListParagraph"/>
        <w:widowControl w:val="0"/>
        <w:numPr>
          <w:ilvl w:val="0"/>
          <w:numId w:val="24"/>
        </w:numPr>
        <w:spacing w:after="0"/>
        <w:contextualSpacing w:val="0"/>
        <w:jc w:val="both"/>
      </w:pPr>
      <w:r w:rsidRPr="0086092F">
        <w:t>Fill/change-of-grade applications decreased after 2018-19.  The significant reduction may be attributed to new provincial regulations and controls regarding disposal of surplus soil.  Inclusion of landform conservation policies in the NEP (2017) provides the NEC with additional tools to evaluate the compatibility of these types of development with the purpose and objectives of the NEP.</w:t>
      </w:r>
    </w:p>
    <w:p w14:paraId="61618793" w14:textId="3FAFC04B" w:rsidR="00093F65" w:rsidRDefault="00093F65">
      <w:pPr>
        <w:rPr>
          <w:highlight w:val="yellow"/>
        </w:rPr>
      </w:pPr>
      <w:r>
        <w:rPr>
          <w:highlight w:val="yellow"/>
        </w:rPr>
        <w:br w:type="page"/>
      </w:r>
    </w:p>
    <w:p w14:paraId="5470D523" w14:textId="77777777" w:rsidR="00F06066" w:rsidRDefault="00F06066" w:rsidP="00F06066">
      <w:pPr>
        <w:rPr>
          <w:highlight w:val="yellow"/>
        </w:rPr>
      </w:pPr>
    </w:p>
    <w:p w14:paraId="759B0496" w14:textId="19359F02" w:rsidR="00F06066" w:rsidRDefault="00F06066" w:rsidP="00F06066">
      <w:pPr>
        <w:widowControl w:val="0"/>
        <w:spacing w:after="0" w:line="240" w:lineRule="auto"/>
        <w:jc w:val="both"/>
        <w:rPr>
          <w:b/>
          <w:bCs/>
        </w:rPr>
      </w:pPr>
      <w:r w:rsidRPr="00502863">
        <w:rPr>
          <w:b/>
          <w:bCs/>
        </w:rPr>
        <w:t>Figure 5</w:t>
      </w:r>
    </w:p>
    <w:p w14:paraId="3921D6D6" w14:textId="77777777" w:rsidR="008E0E1B" w:rsidRDefault="008E0E1B" w:rsidP="00F06066">
      <w:pPr>
        <w:widowControl w:val="0"/>
        <w:spacing w:after="0" w:line="240" w:lineRule="auto"/>
        <w:jc w:val="both"/>
        <w:rPr>
          <w:b/>
          <w:bCs/>
        </w:rPr>
      </w:pPr>
    </w:p>
    <w:p w14:paraId="150829C0" w14:textId="7BC81542" w:rsidR="008F453E" w:rsidRPr="00502863" w:rsidRDefault="008F453E" w:rsidP="00F06066">
      <w:pPr>
        <w:widowControl w:val="0"/>
        <w:spacing w:after="0" w:line="240" w:lineRule="auto"/>
        <w:jc w:val="both"/>
        <w:rPr>
          <w:b/>
          <w:bCs/>
        </w:rPr>
      </w:pPr>
      <w:r w:rsidRPr="008F453E">
        <w:rPr>
          <w:b/>
          <w:bCs/>
          <w:noProof/>
        </w:rPr>
        <w:drawing>
          <wp:inline distT="0" distB="0" distL="0" distR="0" wp14:anchorId="45E46FC0" wp14:editId="0FFE3987">
            <wp:extent cx="5723906" cy="3234374"/>
            <wp:effectExtent l="0" t="0" r="0" b="4445"/>
            <wp:docPr id="23" name="Picture 23" descr="FIgure 5 shows the number of Development from 2019-2020, 2018-2019, and 2017-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FIgure 5 shows the number of Development from 2019-2020, 2018-2019, and 2017-2018"/>
                    <pic:cNvPicPr/>
                  </pic:nvPicPr>
                  <pic:blipFill>
                    <a:blip r:embed="rId20"/>
                    <a:stretch>
                      <a:fillRect/>
                    </a:stretch>
                  </pic:blipFill>
                  <pic:spPr>
                    <a:xfrm>
                      <a:off x="0" y="0"/>
                      <a:ext cx="5723906" cy="3234374"/>
                    </a:xfrm>
                    <a:prstGeom prst="rect">
                      <a:avLst/>
                    </a:prstGeom>
                  </pic:spPr>
                </pic:pic>
              </a:graphicData>
            </a:graphic>
          </wp:inline>
        </w:drawing>
      </w:r>
    </w:p>
    <w:p w14:paraId="570BD4B1" w14:textId="77777777" w:rsidR="00F06066" w:rsidRPr="00502863" w:rsidRDefault="00F06066" w:rsidP="00F06066">
      <w:pPr>
        <w:widowControl w:val="0"/>
        <w:spacing w:after="0" w:line="240" w:lineRule="auto"/>
        <w:jc w:val="both"/>
        <w:rPr>
          <w:highlight w:val="yellow"/>
        </w:rPr>
      </w:pPr>
    </w:p>
    <w:p w14:paraId="14C8D893" w14:textId="3545CA58" w:rsidR="00F06066" w:rsidRDefault="00093F65" w:rsidP="00F06066">
      <w:pPr>
        <w:rPr>
          <w:b/>
          <w:bCs/>
        </w:rPr>
      </w:pPr>
      <w:r w:rsidRPr="00093F65">
        <w:rPr>
          <w:b/>
          <w:bCs/>
          <w:noProof/>
        </w:rPr>
        <w:drawing>
          <wp:inline distT="0" distB="0" distL="0" distR="0" wp14:anchorId="0EEE5AB4" wp14:editId="575604B1">
            <wp:extent cx="2633700" cy="4102964"/>
            <wp:effectExtent l="0" t="0" r="0" b="0"/>
            <wp:docPr id="24" name="Picture 24" descr="Figure 5 shows the number of Development from 2019-2020, 2018-2019, and 2017-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Figure 5 shows the number of Development from 2019-2020, 2018-2019, and 2017-2018"/>
                    <pic:cNvPicPr/>
                  </pic:nvPicPr>
                  <pic:blipFill>
                    <a:blip r:embed="rId21"/>
                    <a:stretch>
                      <a:fillRect/>
                    </a:stretch>
                  </pic:blipFill>
                  <pic:spPr>
                    <a:xfrm>
                      <a:off x="0" y="0"/>
                      <a:ext cx="2633700" cy="4102964"/>
                    </a:xfrm>
                    <a:prstGeom prst="rect">
                      <a:avLst/>
                    </a:prstGeom>
                  </pic:spPr>
                </pic:pic>
              </a:graphicData>
            </a:graphic>
          </wp:inline>
        </w:drawing>
      </w:r>
      <w:r w:rsidRPr="00093F65">
        <w:rPr>
          <w:b/>
          <w:bCs/>
        </w:rPr>
        <w:t xml:space="preserve"> </w:t>
      </w:r>
      <w:r w:rsidR="00F06066">
        <w:rPr>
          <w:b/>
          <w:bCs/>
        </w:rPr>
        <w:br w:type="page"/>
      </w:r>
    </w:p>
    <w:p w14:paraId="78293EDD" w14:textId="2B7BA31F" w:rsidR="00F06066" w:rsidRPr="0086092F" w:rsidRDefault="00F06066" w:rsidP="0003039F">
      <w:pPr>
        <w:jc w:val="both"/>
      </w:pPr>
      <w:r w:rsidRPr="0086092F">
        <w:lastRenderedPageBreak/>
        <w:t>Under the NEPDA, the Minister of Natural Resources and Forestry has the power to delegate to the Commission the authority to approve development permits. Under the current Delegation of Authority, the power to approve certain types of development permit applications is, in turn, delegated to the NEC Director.</w:t>
      </w:r>
    </w:p>
    <w:p w14:paraId="615D9EB7" w14:textId="702E6FBB" w:rsidR="00F06066" w:rsidRPr="0086092F" w:rsidRDefault="00F06066" w:rsidP="0003039F">
      <w:pPr>
        <w:jc w:val="both"/>
      </w:pPr>
      <w:r w:rsidRPr="0086092F">
        <w:t>As illustrated in Figures 6 and 7, approximately 95 per cent of all NEC approvals (includes Directors’ approvals and exemptions) are approved at the NEC Director level. For an application to be approved by the Director, it must meet the following criteria:</w:t>
      </w:r>
    </w:p>
    <w:p w14:paraId="5F9ECB30" w14:textId="54CE55B4" w:rsidR="00F06066" w:rsidRPr="0086092F" w:rsidRDefault="00F06066" w:rsidP="0003039F">
      <w:pPr>
        <w:pStyle w:val="ListParagraph"/>
        <w:widowControl w:val="0"/>
        <w:numPr>
          <w:ilvl w:val="0"/>
          <w:numId w:val="25"/>
        </w:numPr>
        <w:spacing w:after="0"/>
        <w:contextualSpacing w:val="0"/>
        <w:jc w:val="both"/>
      </w:pPr>
      <w:r w:rsidRPr="0086092F">
        <w:t>The application and supporting information must be complete</w:t>
      </w:r>
    </w:p>
    <w:p w14:paraId="69E5E22D" w14:textId="5A6934FA" w:rsidR="00F06066" w:rsidRPr="0086092F" w:rsidRDefault="00F06066" w:rsidP="0003039F">
      <w:pPr>
        <w:pStyle w:val="ListParagraph"/>
        <w:widowControl w:val="0"/>
        <w:numPr>
          <w:ilvl w:val="0"/>
          <w:numId w:val="25"/>
        </w:numPr>
        <w:spacing w:after="0"/>
        <w:contextualSpacing w:val="0"/>
        <w:jc w:val="both"/>
      </w:pPr>
      <w:r w:rsidRPr="0086092F">
        <w:t>There are no objections to the application from any consulted agencies</w:t>
      </w:r>
    </w:p>
    <w:p w14:paraId="3322CE36" w14:textId="69AD29FC" w:rsidR="00F06066" w:rsidRPr="0086092F" w:rsidRDefault="00F06066" w:rsidP="0003039F">
      <w:pPr>
        <w:pStyle w:val="ListParagraph"/>
        <w:widowControl w:val="0"/>
        <w:numPr>
          <w:ilvl w:val="0"/>
          <w:numId w:val="25"/>
        </w:numPr>
        <w:spacing w:after="0"/>
        <w:contextualSpacing w:val="0"/>
        <w:jc w:val="both"/>
      </w:pPr>
      <w:r w:rsidRPr="0086092F">
        <w:t>NEC planning staff have completed a Staff Report recommending approval</w:t>
      </w:r>
    </w:p>
    <w:p w14:paraId="594DBCBE" w14:textId="03F5F1DE" w:rsidR="00F06066" w:rsidRPr="0086092F" w:rsidRDefault="00F06066" w:rsidP="0003039F">
      <w:pPr>
        <w:pStyle w:val="ListParagraph"/>
        <w:widowControl w:val="0"/>
        <w:numPr>
          <w:ilvl w:val="0"/>
          <w:numId w:val="25"/>
        </w:numPr>
        <w:spacing w:after="0"/>
        <w:contextualSpacing w:val="0"/>
        <w:jc w:val="both"/>
      </w:pPr>
      <w:r w:rsidRPr="0086092F">
        <w:t>The Staff Report is accompanied by Conditions of Approval and the proposed development complies with the NEP and does not require a policy interpretation under the plan</w:t>
      </w:r>
    </w:p>
    <w:p w14:paraId="164E97AC" w14:textId="72C1A847" w:rsidR="00F06066" w:rsidRPr="0086092F" w:rsidRDefault="00F06066" w:rsidP="0003039F">
      <w:pPr>
        <w:pStyle w:val="ListParagraph"/>
        <w:widowControl w:val="0"/>
        <w:numPr>
          <w:ilvl w:val="0"/>
          <w:numId w:val="25"/>
        </w:numPr>
        <w:spacing w:after="0"/>
        <w:contextualSpacing w:val="0"/>
        <w:jc w:val="both"/>
      </w:pPr>
      <w:r w:rsidRPr="0086092F">
        <w:t>In the case of development that has taken place without a development permit:</w:t>
      </w:r>
    </w:p>
    <w:p w14:paraId="601D625F" w14:textId="6763607E" w:rsidR="00F06066" w:rsidRPr="0086092F" w:rsidRDefault="00F06066" w:rsidP="0003039F">
      <w:pPr>
        <w:pStyle w:val="ListParagraph"/>
        <w:widowControl w:val="0"/>
        <w:numPr>
          <w:ilvl w:val="1"/>
          <w:numId w:val="25"/>
        </w:numPr>
        <w:spacing w:after="0"/>
        <w:contextualSpacing w:val="0"/>
        <w:jc w:val="both"/>
      </w:pPr>
      <w:r w:rsidRPr="0086092F">
        <w:t>It is the first time the applicant has undertaken development on the property without approval; and</w:t>
      </w:r>
    </w:p>
    <w:p w14:paraId="6253BBE3" w14:textId="4DB3EF93" w:rsidR="00F06066" w:rsidRPr="0086092F" w:rsidRDefault="00F06066" w:rsidP="0003039F">
      <w:pPr>
        <w:pStyle w:val="ListParagraph"/>
        <w:widowControl w:val="0"/>
        <w:numPr>
          <w:ilvl w:val="1"/>
          <w:numId w:val="25"/>
        </w:numPr>
        <w:spacing w:after="0"/>
        <w:contextualSpacing w:val="0"/>
        <w:jc w:val="both"/>
      </w:pPr>
      <w:r w:rsidRPr="0086092F">
        <w:t>The matter is not subject to a prosecution.</w:t>
      </w:r>
    </w:p>
    <w:p w14:paraId="415BEA74" w14:textId="604D3374" w:rsidR="00F06066" w:rsidRPr="0003039F" w:rsidRDefault="00F06066" w:rsidP="0003039F">
      <w:pPr>
        <w:rPr>
          <w:sz w:val="6"/>
          <w:szCs w:val="4"/>
        </w:rPr>
      </w:pPr>
    </w:p>
    <w:p w14:paraId="7E3E28B2" w14:textId="6821F997" w:rsidR="00F06066" w:rsidRPr="0086092F" w:rsidRDefault="00F06066" w:rsidP="0003039F">
      <w:r w:rsidRPr="0086092F">
        <w:t>The</w:t>
      </w:r>
      <w:r>
        <w:t xml:space="preserve"> total number of decisions is reduced over the previous year due may be attributed to impacts of COVID-19.  Applicants may have put their application on hold or experienced delays in completing necessary studies.  Limitations on staff (e.g.; limited site visits, operational challenges) may have also contributed to the reduced number of decisions on applications.</w:t>
      </w:r>
    </w:p>
    <w:p w14:paraId="31AC3C96" w14:textId="2AD1F29F" w:rsidR="00F06066" w:rsidRDefault="00F06066" w:rsidP="00F06066">
      <w:pPr>
        <w:rPr>
          <w:b/>
          <w:bCs/>
        </w:rPr>
      </w:pPr>
      <w:r w:rsidRPr="002D4448">
        <w:rPr>
          <w:b/>
          <w:bCs/>
        </w:rPr>
        <w:t>Figure 6</w:t>
      </w:r>
    </w:p>
    <w:p w14:paraId="379D0D27" w14:textId="535583D2" w:rsidR="00F06066" w:rsidRDefault="002D1D20" w:rsidP="00F06066">
      <w:pPr>
        <w:rPr>
          <w:noProof/>
        </w:rPr>
      </w:pPr>
      <w:r w:rsidRPr="00611B71">
        <w:rPr>
          <w:noProof/>
        </w:rPr>
        <w:drawing>
          <wp:anchor distT="0" distB="0" distL="114300" distR="114300" simplePos="0" relativeHeight="251677184" behindDoc="1" locked="0" layoutInCell="1" allowOverlap="1" wp14:anchorId="74A5A339" wp14:editId="286CCD8E">
            <wp:simplePos x="0" y="0"/>
            <wp:positionH relativeFrom="margin">
              <wp:align>left</wp:align>
            </wp:positionH>
            <wp:positionV relativeFrom="paragraph">
              <wp:posOffset>-139065</wp:posOffset>
            </wp:positionV>
            <wp:extent cx="4345305" cy="3099435"/>
            <wp:effectExtent l="0" t="0" r="0" b="5715"/>
            <wp:wrapTight wrapText="bothSides">
              <wp:wrapPolygon edited="0">
                <wp:start x="0" y="0"/>
                <wp:lineTo x="0" y="21507"/>
                <wp:lineTo x="21496" y="21507"/>
                <wp:lineTo x="21496" y="0"/>
                <wp:lineTo x="0" y="0"/>
              </wp:wrapPolygon>
            </wp:wrapTight>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22">
                      <a:extLst>
                        <a:ext uri="{28A0092B-C50C-407E-A947-70E740481C1C}">
                          <a14:useLocalDpi xmlns:a14="http://schemas.microsoft.com/office/drawing/2010/main" val="0"/>
                        </a:ext>
                      </a:extLst>
                    </a:blip>
                    <a:stretch>
                      <a:fillRect/>
                    </a:stretch>
                  </pic:blipFill>
                  <pic:spPr>
                    <a:xfrm>
                      <a:off x="0" y="0"/>
                      <a:ext cx="4345305" cy="3099435"/>
                    </a:xfrm>
                    <a:prstGeom prst="rect">
                      <a:avLst/>
                    </a:prstGeom>
                  </pic:spPr>
                </pic:pic>
              </a:graphicData>
            </a:graphic>
            <wp14:sizeRelH relativeFrom="page">
              <wp14:pctWidth>0</wp14:pctWidth>
            </wp14:sizeRelH>
            <wp14:sizeRelV relativeFrom="page">
              <wp14:pctHeight>0</wp14:pctHeight>
            </wp14:sizeRelV>
          </wp:anchor>
        </w:drawing>
      </w:r>
    </w:p>
    <w:p w14:paraId="2E0E2187" w14:textId="1AB5BE55" w:rsidR="00E53406" w:rsidRDefault="00E53406" w:rsidP="00F06066">
      <w:pPr>
        <w:rPr>
          <w:b/>
          <w:bCs/>
        </w:rPr>
      </w:pPr>
    </w:p>
    <w:p w14:paraId="149488CE" w14:textId="77777777" w:rsidR="00E53406" w:rsidRDefault="00E53406" w:rsidP="00F06066">
      <w:pPr>
        <w:rPr>
          <w:b/>
          <w:bCs/>
        </w:rPr>
      </w:pPr>
    </w:p>
    <w:p w14:paraId="3A82E207" w14:textId="77777777" w:rsidR="00E53406" w:rsidRDefault="00E53406" w:rsidP="00F06066">
      <w:pPr>
        <w:rPr>
          <w:b/>
          <w:bCs/>
        </w:rPr>
      </w:pPr>
    </w:p>
    <w:p w14:paraId="2F457D23" w14:textId="77777777" w:rsidR="00E53406" w:rsidRDefault="00E53406" w:rsidP="00F06066">
      <w:pPr>
        <w:rPr>
          <w:b/>
          <w:bCs/>
        </w:rPr>
      </w:pPr>
    </w:p>
    <w:p w14:paraId="4B87D401" w14:textId="77777777" w:rsidR="00E53406" w:rsidRDefault="00E53406" w:rsidP="00F06066">
      <w:pPr>
        <w:rPr>
          <w:b/>
          <w:bCs/>
        </w:rPr>
      </w:pPr>
    </w:p>
    <w:p w14:paraId="1C36A4BD" w14:textId="77777777" w:rsidR="00E53406" w:rsidRDefault="00E53406" w:rsidP="00F06066">
      <w:pPr>
        <w:rPr>
          <w:b/>
          <w:bCs/>
        </w:rPr>
      </w:pPr>
    </w:p>
    <w:p w14:paraId="6E2210FB" w14:textId="77777777" w:rsidR="00E53406" w:rsidRDefault="00E53406" w:rsidP="00F06066">
      <w:pPr>
        <w:rPr>
          <w:b/>
          <w:bCs/>
        </w:rPr>
      </w:pPr>
    </w:p>
    <w:p w14:paraId="0E1643D2" w14:textId="77777777" w:rsidR="00E53406" w:rsidRDefault="00E53406" w:rsidP="00F06066">
      <w:pPr>
        <w:rPr>
          <w:b/>
          <w:bCs/>
        </w:rPr>
      </w:pPr>
    </w:p>
    <w:p w14:paraId="1F0E4FA9" w14:textId="5A3E13A7" w:rsidR="00F06066" w:rsidRDefault="00F06066" w:rsidP="00F06066">
      <w:pPr>
        <w:rPr>
          <w:b/>
          <w:bCs/>
        </w:rPr>
      </w:pPr>
      <w:r>
        <w:rPr>
          <w:b/>
          <w:bCs/>
        </w:rPr>
        <w:lastRenderedPageBreak/>
        <w:t>Figure 7</w:t>
      </w:r>
    </w:p>
    <w:p w14:paraId="0312CC9B" w14:textId="67F7CDA8" w:rsidR="00F06066" w:rsidRDefault="006F01B0" w:rsidP="00F06066">
      <w:pPr>
        <w:rPr>
          <w:b/>
          <w:bCs/>
        </w:rPr>
      </w:pPr>
      <w:r w:rsidRPr="006F01B0">
        <w:rPr>
          <w:b/>
          <w:bCs/>
          <w:noProof/>
        </w:rPr>
        <w:drawing>
          <wp:inline distT="0" distB="0" distL="0" distR="0" wp14:anchorId="2FCBE414" wp14:editId="2AAEBC97">
            <wp:extent cx="4592879" cy="3336966"/>
            <wp:effectExtent l="0" t="0" r="0" b="0"/>
            <wp:docPr id="20" name="Picture 20" descr="Figure 7 shows the number of development permit decisions in 2019-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Figure 7 shows the number of development permit decisions in 2019-2020"/>
                    <pic:cNvPicPr/>
                  </pic:nvPicPr>
                  <pic:blipFill>
                    <a:blip r:embed="rId23"/>
                    <a:stretch>
                      <a:fillRect/>
                    </a:stretch>
                  </pic:blipFill>
                  <pic:spPr>
                    <a:xfrm>
                      <a:off x="0" y="0"/>
                      <a:ext cx="4647055" cy="3376327"/>
                    </a:xfrm>
                    <a:prstGeom prst="rect">
                      <a:avLst/>
                    </a:prstGeom>
                  </pic:spPr>
                </pic:pic>
              </a:graphicData>
            </a:graphic>
          </wp:inline>
        </w:drawing>
      </w:r>
    </w:p>
    <w:p w14:paraId="0340115B" w14:textId="77777777" w:rsidR="00F06066" w:rsidRDefault="00F06066" w:rsidP="00F06066">
      <w:pPr>
        <w:rPr>
          <w:b/>
          <w:bCs/>
        </w:rPr>
      </w:pPr>
    </w:p>
    <w:p w14:paraId="4BE688A2" w14:textId="77777777" w:rsidR="00F06066" w:rsidRPr="00F47EBA" w:rsidRDefault="00F06066" w:rsidP="00F06066">
      <w:pPr>
        <w:jc w:val="both"/>
      </w:pPr>
      <w:r w:rsidRPr="00F47EBA">
        <w:t>Figure 8 below illustrates the number of appeals of development permit decisions during the last two fiscal years.</w:t>
      </w:r>
    </w:p>
    <w:p w14:paraId="66147EA5" w14:textId="77777777" w:rsidR="00F06066" w:rsidRPr="00EB1696" w:rsidRDefault="00F06066" w:rsidP="00F06066">
      <w:pPr>
        <w:rPr>
          <w:b/>
          <w:bCs/>
          <w:color w:val="212121"/>
          <w:spacing w:val="3"/>
          <w:w w:val="110"/>
        </w:rPr>
      </w:pPr>
      <w:r w:rsidRPr="002D4448">
        <w:rPr>
          <w:b/>
          <w:bCs/>
          <w:color w:val="212121"/>
          <w:spacing w:val="3"/>
          <w:w w:val="110"/>
        </w:rPr>
        <w:t>Figure 8</w:t>
      </w:r>
    </w:p>
    <w:p w14:paraId="562D2EE7" w14:textId="532A3121" w:rsidR="00F06066" w:rsidRDefault="00067FC0" w:rsidP="00F06066">
      <w:pPr>
        <w:rPr>
          <w:b/>
          <w:bCs/>
        </w:rPr>
      </w:pPr>
      <w:r>
        <w:rPr>
          <w:b/>
          <w:bCs/>
          <w:noProof/>
        </w:rPr>
        <w:drawing>
          <wp:inline distT="0" distB="0" distL="0" distR="0" wp14:anchorId="18390008" wp14:editId="6970787B">
            <wp:extent cx="6340475" cy="2883535"/>
            <wp:effectExtent l="0" t="0" r="3175" b="0"/>
            <wp:docPr id="19" name="Picture 19" descr="Figure 8 illustrates the number of appeals of development permit decisions during the last two fiscal y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Figure 8 illustrates the number of appeals of development permit decisions during the last two fiscal year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340475" cy="2883535"/>
                    </a:xfrm>
                    <a:prstGeom prst="rect">
                      <a:avLst/>
                    </a:prstGeom>
                    <a:noFill/>
                  </pic:spPr>
                </pic:pic>
              </a:graphicData>
            </a:graphic>
          </wp:inline>
        </w:drawing>
      </w:r>
      <w:r w:rsidR="00F06066">
        <w:rPr>
          <w:b/>
          <w:bCs/>
        </w:rPr>
        <w:br w:type="page"/>
      </w:r>
    </w:p>
    <w:p w14:paraId="1E6D3B06" w14:textId="77777777" w:rsidR="00F06066" w:rsidRDefault="00F06066" w:rsidP="00AD3D66">
      <w:pPr>
        <w:pStyle w:val="Heading2"/>
      </w:pPr>
      <w:bookmarkStart w:id="69" w:name="_Toc44333627"/>
      <w:bookmarkStart w:id="70" w:name="_Toc74895912"/>
      <w:r>
        <w:lastRenderedPageBreak/>
        <w:t>Niagara Escarpment Plan Amendments</w:t>
      </w:r>
      <w:bookmarkEnd w:id="69"/>
      <w:bookmarkEnd w:id="70"/>
    </w:p>
    <w:p w14:paraId="5F7E0642" w14:textId="77777777" w:rsidR="00F06066" w:rsidRDefault="00F06066" w:rsidP="00F06066">
      <w:pPr>
        <w:pStyle w:val="NoSpacing"/>
        <w:jc w:val="both"/>
      </w:pPr>
    </w:p>
    <w:p w14:paraId="00C2EAD8" w14:textId="4205FD58" w:rsidR="00F06066" w:rsidRDefault="00F06066" w:rsidP="0003039F">
      <w:pPr>
        <w:pStyle w:val="NoSpacing"/>
        <w:spacing w:line="276" w:lineRule="auto"/>
        <w:jc w:val="both"/>
      </w:pPr>
      <w:r>
        <w:t>A decision on 6 urban amendment applications that had been submitted during the 2015 Co-ordinated Land Use Planning Review is still pending. There are currently 5 other active Plan Amendments in progress and 2 which received decisions by the Minister of Natural Resources and Forestry. The following is the status of active amendment applications in 2020-21</w:t>
      </w:r>
      <w:r w:rsidR="00F825A2">
        <w:t>:</w:t>
      </w:r>
    </w:p>
    <w:p w14:paraId="50B82447" w14:textId="77777777" w:rsidR="00F06066" w:rsidRDefault="00F06066" w:rsidP="0003039F">
      <w:pPr>
        <w:pStyle w:val="NoSpacing"/>
        <w:spacing w:line="276" w:lineRule="auto"/>
        <w:jc w:val="both"/>
      </w:pPr>
    </w:p>
    <w:p w14:paraId="4354A065" w14:textId="77777777" w:rsidR="00F06066" w:rsidRPr="006414A3" w:rsidRDefault="00F06066" w:rsidP="0003039F">
      <w:pPr>
        <w:pStyle w:val="NoSpacing"/>
        <w:spacing w:line="276" w:lineRule="auto"/>
        <w:jc w:val="both"/>
        <w:rPr>
          <w:b/>
        </w:rPr>
      </w:pPr>
      <w:r w:rsidRPr="006414A3">
        <w:rPr>
          <w:b/>
        </w:rPr>
        <w:t>Plan Amendment PB 208 15 (Dyers Bay)</w:t>
      </w:r>
    </w:p>
    <w:p w14:paraId="209A1783" w14:textId="77777777" w:rsidR="00F06066" w:rsidRPr="006414A3" w:rsidRDefault="00F06066" w:rsidP="0003039F">
      <w:pPr>
        <w:pStyle w:val="NoSpacing"/>
        <w:spacing w:line="276" w:lineRule="auto"/>
        <w:jc w:val="both"/>
      </w:pPr>
      <w:r w:rsidRPr="006414A3">
        <w:t>The purpose of the amendment is to change the designation of lands in the Minor Urban Centre of Dyers Bay from Mineral Resource Extraction Area to Escarpment Natural Area and Escarpment Rural Area in recognition of the surrender of the licen</w:t>
      </w:r>
      <w:r>
        <w:t>c</w:t>
      </w:r>
      <w:r w:rsidRPr="006414A3">
        <w:t xml:space="preserve">e under the </w:t>
      </w:r>
      <w:r w:rsidRPr="261E6B9B">
        <w:rPr>
          <w:i/>
        </w:rPr>
        <w:t>Aggregate Resources Act</w:t>
      </w:r>
      <w:r w:rsidRPr="006414A3">
        <w:t>.</w:t>
      </w:r>
      <w:r>
        <w:t xml:space="preserve"> The proposed Amendment, initiated by the NEC on lands in the Municipality of Northern Bruce Peninsula, was the subject of a hearing in October 2019. A settlement was reached, and the Hearing Officer recommended approval of the proposed Amendment in March 2020. The Minister supported the Hearing Officer’s recommendation and the Amendment was approved by </w:t>
      </w:r>
      <w:r w:rsidRPr="00A37D93">
        <w:t>the Minister on July</w:t>
      </w:r>
      <w:r>
        <w:t xml:space="preserve"> 27, 2020.</w:t>
      </w:r>
    </w:p>
    <w:p w14:paraId="5284C7BE" w14:textId="77777777" w:rsidR="00F06066" w:rsidRDefault="00F06066" w:rsidP="0003039F">
      <w:pPr>
        <w:pStyle w:val="NoSpacing"/>
        <w:spacing w:line="276" w:lineRule="auto"/>
        <w:jc w:val="both"/>
      </w:pPr>
    </w:p>
    <w:p w14:paraId="4AEFA4FB" w14:textId="77777777" w:rsidR="00F06066" w:rsidRDefault="00F06066" w:rsidP="0003039F">
      <w:pPr>
        <w:pStyle w:val="NoSpacing"/>
        <w:spacing w:line="276" w:lineRule="auto"/>
        <w:jc w:val="both"/>
      </w:pPr>
    </w:p>
    <w:p w14:paraId="66990CAB" w14:textId="77777777" w:rsidR="00F06066" w:rsidRDefault="00F06066" w:rsidP="0003039F">
      <w:pPr>
        <w:pStyle w:val="NoSpacing"/>
        <w:spacing w:line="276" w:lineRule="auto"/>
        <w:jc w:val="both"/>
        <w:rPr>
          <w:b/>
        </w:rPr>
      </w:pPr>
      <w:r>
        <w:rPr>
          <w:b/>
        </w:rPr>
        <w:t>Plan Amendment PP 213 18 (</w:t>
      </w:r>
      <w:proofErr w:type="spellStart"/>
      <w:r>
        <w:rPr>
          <w:b/>
        </w:rPr>
        <w:t>Blueland</w:t>
      </w:r>
      <w:proofErr w:type="spellEnd"/>
      <w:r>
        <w:rPr>
          <w:b/>
        </w:rPr>
        <w:t xml:space="preserve"> Farms)</w:t>
      </w:r>
    </w:p>
    <w:p w14:paraId="1887F402" w14:textId="77777777" w:rsidR="00F06066" w:rsidRDefault="00F06066" w:rsidP="0003039F">
      <w:pPr>
        <w:pStyle w:val="NoSpacing"/>
        <w:spacing w:line="276" w:lineRule="auto"/>
        <w:jc w:val="both"/>
      </w:pPr>
      <w:r>
        <w:t>The purpose of this proposed Amendment is to change the designation of this property in the Town of Caledon from Escarpment Rural Area to Mineral Resource Extraction Area to permit a new mineral aggregate operation on a 26-hectare property in the Town of Caledon. The application was initiated by the Commission in 2018.  The application is still under review.</w:t>
      </w:r>
    </w:p>
    <w:p w14:paraId="32A8BC2E" w14:textId="54FCF917" w:rsidR="00F06066" w:rsidRDefault="00F06066" w:rsidP="0003039F">
      <w:pPr>
        <w:pStyle w:val="NoSpacing"/>
        <w:spacing w:line="276" w:lineRule="auto"/>
        <w:jc w:val="both"/>
      </w:pPr>
    </w:p>
    <w:p w14:paraId="07ECC326" w14:textId="77777777" w:rsidR="00581E74" w:rsidRDefault="00581E74" w:rsidP="0003039F">
      <w:pPr>
        <w:pStyle w:val="NoSpacing"/>
        <w:spacing w:line="276" w:lineRule="auto"/>
        <w:jc w:val="both"/>
      </w:pPr>
    </w:p>
    <w:p w14:paraId="0E48072E" w14:textId="77777777" w:rsidR="00F06066" w:rsidRDefault="00F06066" w:rsidP="0003039F">
      <w:pPr>
        <w:pStyle w:val="NoSpacing"/>
        <w:spacing w:line="276" w:lineRule="auto"/>
        <w:jc w:val="both"/>
        <w:rPr>
          <w:b/>
        </w:rPr>
      </w:pPr>
      <w:r>
        <w:rPr>
          <w:b/>
        </w:rPr>
        <w:t>Plan Amendment PD 214 18 (Toronto District School Board)</w:t>
      </w:r>
    </w:p>
    <w:p w14:paraId="7C483AB6" w14:textId="77777777" w:rsidR="00F06066" w:rsidRDefault="00F06066" w:rsidP="0003039F">
      <w:pPr>
        <w:pStyle w:val="NoSpacing"/>
        <w:spacing w:line="276" w:lineRule="auto"/>
        <w:jc w:val="both"/>
      </w:pPr>
      <w:r>
        <w:t xml:space="preserve">An application was submitted by the Toronto District School Board. The purpose of this proposed amendment is to include a site-specific policy exception in the NEP to allow the Boyne River Natural Science Centre, on lands in the Escarpment Natural Area designation, to be re-established as an outdoor education centre on a property in the Township of </w:t>
      </w:r>
      <w:proofErr w:type="spellStart"/>
      <w:r>
        <w:t>Mulmur</w:t>
      </w:r>
      <w:proofErr w:type="spellEnd"/>
      <w:r>
        <w:t>. The Commission endorsed staff’s recommendation to support the proposed amendment at its meeting in May 2019. This application was approved by the Minister on August 12, 2020.</w:t>
      </w:r>
    </w:p>
    <w:p w14:paraId="7A01517F" w14:textId="5AD6DE97" w:rsidR="00F06066" w:rsidRDefault="00F06066" w:rsidP="0003039F">
      <w:pPr>
        <w:pStyle w:val="NoSpacing"/>
        <w:spacing w:line="276" w:lineRule="auto"/>
        <w:jc w:val="both"/>
      </w:pPr>
    </w:p>
    <w:p w14:paraId="00263647" w14:textId="77777777" w:rsidR="00581E74" w:rsidRDefault="00581E74" w:rsidP="0003039F">
      <w:pPr>
        <w:pStyle w:val="NoSpacing"/>
        <w:spacing w:line="276" w:lineRule="auto"/>
        <w:jc w:val="both"/>
      </w:pPr>
    </w:p>
    <w:p w14:paraId="1FA07F3B" w14:textId="77777777" w:rsidR="00F06066" w:rsidRDefault="00F06066" w:rsidP="0003039F">
      <w:pPr>
        <w:pStyle w:val="NoSpacing"/>
        <w:spacing w:line="276" w:lineRule="auto"/>
        <w:jc w:val="both"/>
        <w:rPr>
          <w:b/>
        </w:rPr>
      </w:pPr>
      <w:r>
        <w:rPr>
          <w:b/>
        </w:rPr>
        <w:t>Plan Amendment PS 215 18 (Sideroad 26/27)</w:t>
      </w:r>
    </w:p>
    <w:p w14:paraId="6B3DCB47" w14:textId="77777777" w:rsidR="00F06066" w:rsidRDefault="00F06066" w:rsidP="0003039F">
      <w:pPr>
        <w:pStyle w:val="NoSpacing"/>
        <w:spacing w:line="276" w:lineRule="auto"/>
        <w:jc w:val="both"/>
      </w:pPr>
      <w:r>
        <w:t xml:space="preserve">The purpose of this application by the Township of Clearview is to add site-specific policies to the Niagara Escarpment Plan to permit the re-development and upgrading of Sideroad 26/27 to make it a year-round paved road, notwithstanding the policy </w:t>
      </w:r>
      <w:r>
        <w:lastRenderedPageBreak/>
        <w:t>requirements to consider alternatives to the undertaking and whether the infrastructure is in the public interest. This amendment relates to a Development Permit application for the proposed road works already referred to the Niagara Escarpment Hearing Office. A staff recommendation report was presented to the Commission in October 2020. The amendment has been referred to the Environmental Review Tribunal (now Ontario Land Tribunal) due to objections to the proposed development. A hearing on both the Amendment and Development Permit has been scheduled, commencing in November 2021.</w:t>
      </w:r>
    </w:p>
    <w:p w14:paraId="3CAC629F" w14:textId="43491F1A" w:rsidR="00F06066" w:rsidRDefault="00F06066" w:rsidP="0003039F">
      <w:pPr>
        <w:pStyle w:val="NoSpacing"/>
        <w:spacing w:line="276" w:lineRule="auto"/>
        <w:jc w:val="both"/>
      </w:pPr>
    </w:p>
    <w:p w14:paraId="673AEE5A" w14:textId="77777777" w:rsidR="00581E74" w:rsidRDefault="00581E74" w:rsidP="0003039F">
      <w:pPr>
        <w:pStyle w:val="NoSpacing"/>
        <w:spacing w:line="276" w:lineRule="auto"/>
        <w:jc w:val="both"/>
      </w:pPr>
    </w:p>
    <w:p w14:paraId="3C50431B" w14:textId="77777777" w:rsidR="00F06066" w:rsidRDefault="00F06066" w:rsidP="0003039F">
      <w:pPr>
        <w:pStyle w:val="NoSpacing"/>
        <w:spacing w:line="276" w:lineRule="auto"/>
        <w:jc w:val="both"/>
        <w:rPr>
          <w:b/>
          <w:bCs/>
        </w:rPr>
      </w:pPr>
      <w:r>
        <w:rPr>
          <w:b/>
          <w:bCs/>
        </w:rPr>
        <w:t>PW 218 20 (Columbia Northcliffe Campus Inc.)</w:t>
      </w:r>
    </w:p>
    <w:p w14:paraId="6E2B3860" w14:textId="77777777" w:rsidR="00F06066" w:rsidRDefault="00F06066" w:rsidP="0003039F">
      <w:pPr>
        <w:pStyle w:val="NoSpacing"/>
        <w:spacing w:line="276" w:lineRule="auto"/>
        <w:jc w:val="both"/>
      </w:pPr>
      <w:r>
        <w:t>The purpose of this application by Columbia College is to permit the use of the former convent on a property located in the Pleasant View Survey in the City of Hamilton as a day use private school. An upgraded septic system and gymnasium addition are also proposed on the subject lands. The initial staff report was presented to the Commission in May 2020. Comments from agencies and the public have been received, most in opposition. The applicant will be providing additional information in 2021</w:t>
      </w:r>
      <w:bookmarkStart w:id="71" w:name="_Hlk71548607"/>
      <w:r>
        <w:t>.</w:t>
      </w:r>
      <w:bookmarkEnd w:id="71"/>
    </w:p>
    <w:p w14:paraId="0B1EA55A" w14:textId="77777777" w:rsidR="00F06066" w:rsidRDefault="00F06066" w:rsidP="0003039F">
      <w:pPr>
        <w:pStyle w:val="NoSpacing"/>
        <w:spacing w:line="276" w:lineRule="auto"/>
        <w:jc w:val="both"/>
      </w:pPr>
    </w:p>
    <w:p w14:paraId="31BA2585" w14:textId="77777777" w:rsidR="00F06066" w:rsidRDefault="00F06066" w:rsidP="0003039F">
      <w:pPr>
        <w:pStyle w:val="NoSpacing"/>
        <w:spacing w:line="276" w:lineRule="auto"/>
        <w:jc w:val="both"/>
        <w:rPr>
          <w:b/>
          <w:bCs/>
        </w:rPr>
      </w:pPr>
    </w:p>
    <w:p w14:paraId="4D3E1F28" w14:textId="77777777" w:rsidR="00F06066" w:rsidRDefault="00F06066" w:rsidP="0003039F">
      <w:pPr>
        <w:pStyle w:val="NoSpacing"/>
        <w:spacing w:line="276" w:lineRule="auto"/>
        <w:jc w:val="both"/>
        <w:rPr>
          <w:b/>
          <w:bCs/>
        </w:rPr>
      </w:pPr>
      <w:r>
        <w:rPr>
          <w:b/>
          <w:bCs/>
        </w:rPr>
        <w:t>PH 219 20 (Nelson Aggregates)</w:t>
      </w:r>
    </w:p>
    <w:p w14:paraId="633E1214" w14:textId="7F5A434C" w:rsidR="00F06066" w:rsidRDefault="00F06066" w:rsidP="0003039F">
      <w:pPr>
        <w:pStyle w:val="NoSpacing"/>
        <w:spacing w:line="276" w:lineRule="auto"/>
        <w:jc w:val="both"/>
        <w:rPr>
          <w:rFonts w:cs="Arial"/>
          <w:lang w:val="en-US"/>
        </w:rPr>
      </w:pPr>
      <w:r>
        <w:t xml:space="preserve">The purpose of this application by Nelson Aggregates Co. is to </w:t>
      </w:r>
      <w:r w:rsidR="0028309F">
        <w:t>red</w:t>
      </w:r>
      <w:r w:rsidR="00FE068B">
        <w:t xml:space="preserve">esignate </w:t>
      </w:r>
      <w:r w:rsidRPr="0078201A">
        <w:rPr>
          <w:rFonts w:cs="Arial"/>
          <w:lang w:val="en-US"/>
        </w:rPr>
        <w:t>approximately 78.3 ha (193.5 ac.) of lands</w:t>
      </w:r>
      <w:r>
        <w:rPr>
          <w:rFonts w:cs="Arial"/>
          <w:lang w:val="en-US"/>
        </w:rPr>
        <w:t xml:space="preserve"> from Escarpment Rural Area to Mineral Resource Aggregate Area and to add a special policy under Part 1.9.3 of the NEP (2017) that would permit the continuation of the use of an office building, maintenance building, facilities for washing, processing and stockpiling of aggregate, truck washing facility, asphalt plant, recycling facilities, and entrance on the original Nelson Quarry lands. An initial Staff report was presented to the Commission on August 20, 2020. NEC Staff have been engaged in the Joint Agency Review Team (JART) protocol to review the lengthy technical submission and, with a couple of exceptions, have completed the review of the first submission. Public consultation through the ERO concluded April 26, 2021; agency comments on the NEPA application have been requested before May 14, 2021. The applicant and their consultants are currently addressing comments issued by JART with a response anticipated in the summer of 2021. </w:t>
      </w:r>
    </w:p>
    <w:p w14:paraId="5F486D38" w14:textId="0FA03F26" w:rsidR="00F06066" w:rsidRDefault="00F06066" w:rsidP="0003039F">
      <w:pPr>
        <w:pStyle w:val="NoSpacing"/>
        <w:spacing w:line="276" w:lineRule="auto"/>
        <w:jc w:val="both"/>
      </w:pPr>
    </w:p>
    <w:p w14:paraId="11A35D90" w14:textId="77777777" w:rsidR="00581E74" w:rsidRPr="006F76C4" w:rsidRDefault="00581E74" w:rsidP="0003039F">
      <w:pPr>
        <w:pStyle w:val="NoSpacing"/>
        <w:spacing w:line="276" w:lineRule="auto"/>
        <w:jc w:val="both"/>
      </w:pPr>
    </w:p>
    <w:p w14:paraId="7892E305" w14:textId="77777777" w:rsidR="00F06066" w:rsidRDefault="00F06066" w:rsidP="0003039F">
      <w:pPr>
        <w:pStyle w:val="NoSpacing"/>
        <w:spacing w:line="276" w:lineRule="auto"/>
        <w:jc w:val="both"/>
        <w:rPr>
          <w:b/>
          <w:bCs/>
        </w:rPr>
      </w:pPr>
      <w:r>
        <w:rPr>
          <w:b/>
          <w:bCs/>
        </w:rPr>
        <w:t>PH 220 21 (</w:t>
      </w:r>
      <w:proofErr w:type="spellStart"/>
      <w:r>
        <w:rPr>
          <w:b/>
          <w:bCs/>
        </w:rPr>
        <w:t>Baghai</w:t>
      </w:r>
      <w:proofErr w:type="spellEnd"/>
      <w:r>
        <w:rPr>
          <w:b/>
          <w:bCs/>
        </w:rPr>
        <w:t>)</w:t>
      </w:r>
    </w:p>
    <w:p w14:paraId="361C2350" w14:textId="77777777" w:rsidR="00F06066" w:rsidRPr="00AF0339" w:rsidRDefault="00F06066" w:rsidP="0003039F">
      <w:pPr>
        <w:pStyle w:val="NoSpacing"/>
        <w:spacing w:line="276" w:lineRule="auto"/>
        <w:jc w:val="both"/>
        <w:rPr>
          <w:rFonts w:cs="Arial"/>
          <w:lang w:val="en-US"/>
        </w:rPr>
      </w:pPr>
      <w:r w:rsidRPr="00AF0339">
        <w:rPr>
          <w:rFonts w:cs="Arial"/>
          <w:lang w:val="en-US"/>
        </w:rPr>
        <w:t xml:space="preserve">An application was made by </w:t>
      </w:r>
      <w:proofErr w:type="spellStart"/>
      <w:r w:rsidRPr="00AF0339">
        <w:rPr>
          <w:rFonts w:cs="Arial"/>
          <w:lang w:val="en-US"/>
        </w:rPr>
        <w:t>Baghai</w:t>
      </w:r>
      <w:proofErr w:type="spellEnd"/>
      <w:r w:rsidRPr="00AF0339">
        <w:rPr>
          <w:rFonts w:cs="Arial"/>
          <w:lang w:val="en-US"/>
        </w:rPr>
        <w:t xml:space="preserve"> Development Ltd. to amend the Niagara Escarpment Plan (NEP) by adding a special site-specific policy provision to the subject lands described as Lot 10, Concession 1 WHS, 2975 Escarpment Sideroad in the Town of Caledon, Region of Peel. The site-specific policy proposes to address exceptions to the NEP Part 1.4.4 Escarpment Protection Area, Part 2.4 Lot Creation and Part 2.10 Cultural </w:t>
      </w:r>
      <w:r w:rsidRPr="00AF0339">
        <w:rPr>
          <w:rFonts w:cs="Arial"/>
          <w:lang w:val="en-US"/>
        </w:rPr>
        <w:lastRenderedPageBreak/>
        <w:t xml:space="preserve">Heritage policies, to permit the creation of three separate parcels, one of which contains a designated heritage dwelling, and by doing so facilitate the acquisition of approximately 21.8 ha of lands by a public body, for conservation purposes and securement of the permanent route of the Bruce Trail. The NEC initiated the proposed Amendment on March 18, 2021 and it has been circulated for comments and posted to the Environmental Registry. </w:t>
      </w:r>
    </w:p>
    <w:p w14:paraId="70838E80" w14:textId="77777777" w:rsidR="00F06066" w:rsidRDefault="00F06066" w:rsidP="00F06066">
      <w:pPr>
        <w:pStyle w:val="NoSpacing"/>
        <w:jc w:val="both"/>
        <w:rPr>
          <w:b/>
          <w:bCs/>
        </w:rPr>
      </w:pPr>
    </w:p>
    <w:p w14:paraId="5D9A2DFF" w14:textId="77777777" w:rsidR="00D130F2" w:rsidRDefault="00D130F2">
      <w:pPr>
        <w:rPr>
          <w:rFonts w:asciiTheme="majorHAnsi" w:eastAsiaTheme="majorEastAsia" w:hAnsiTheme="majorHAnsi" w:cstheme="majorBidi"/>
          <w:b/>
          <w:bCs/>
          <w:sz w:val="32"/>
          <w:szCs w:val="26"/>
        </w:rPr>
      </w:pPr>
      <w:bookmarkStart w:id="72" w:name="_Toc44333628"/>
      <w:r>
        <w:br w:type="page"/>
      </w:r>
    </w:p>
    <w:p w14:paraId="01FEA78F" w14:textId="3B022D8C" w:rsidR="00F06066" w:rsidRDefault="00F06066" w:rsidP="00CA736F">
      <w:pPr>
        <w:pStyle w:val="Heading2"/>
      </w:pPr>
      <w:bookmarkStart w:id="73" w:name="_Toc74895913"/>
      <w:r>
        <w:lastRenderedPageBreak/>
        <w:t>Niagara Escarpment Parks and Open Space System</w:t>
      </w:r>
      <w:bookmarkEnd w:id="72"/>
      <w:bookmarkEnd w:id="73"/>
    </w:p>
    <w:p w14:paraId="76516E15" w14:textId="77777777" w:rsidR="0003039F" w:rsidRDefault="0003039F" w:rsidP="0003039F">
      <w:pPr>
        <w:pStyle w:val="NoSpacing"/>
        <w:spacing w:line="276" w:lineRule="auto"/>
        <w:jc w:val="both"/>
      </w:pPr>
    </w:p>
    <w:p w14:paraId="216ED186" w14:textId="5B661571" w:rsidR="00F06066" w:rsidRPr="006414A3" w:rsidRDefault="00F06066" w:rsidP="0003039F">
      <w:pPr>
        <w:pStyle w:val="NoSpacing"/>
        <w:spacing w:line="276" w:lineRule="auto"/>
        <w:jc w:val="both"/>
      </w:pPr>
      <w:r w:rsidRPr="006414A3">
        <w:t xml:space="preserve">The Niagara Escarpment Parks and Open Spaces System (NEPOSS), consisting of more than 160 parks and open spaces, </w:t>
      </w:r>
      <w:r>
        <w:t xml:space="preserve">with the Bruce Trail as the common linkage connecting NEPOSS lands. The NEPOSS </w:t>
      </w:r>
      <w:r w:rsidRPr="006414A3">
        <w:t>seeks to achieve the NEP Part 3 objectives of providing opportunities for outdoor recreation, and appropriate public access to the Niagara Escarpment. Part 3 of the NEP contains policies that guide activities and development within the NEPOSS.</w:t>
      </w:r>
    </w:p>
    <w:p w14:paraId="3368BA7B" w14:textId="77777777" w:rsidR="00F06066" w:rsidRPr="006414A3" w:rsidRDefault="00F06066" w:rsidP="0003039F">
      <w:pPr>
        <w:pStyle w:val="NoSpacing"/>
        <w:spacing w:line="276" w:lineRule="auto"/>
        <w:jc w:val="both"/>
      </w:pPr>
    </w:p>
    <w:p w14:paraId="53C6BF06" w14:textId="62B33BF8" w:rsidR="00F06066" w:rsidRPr="006414A3" w:rsidRDefault="00F06066" w:rsidP="0003039F">
      <w:pPr>
        <w:pStyle w:val="NoSpacing"/>
        <w:spacing w:line="276" w:lineRule="auto"/>
        <w:jc w:val="both"/>
      </w:pPr>
      <w:r w:rsidRPr="006414A3">
        <w:t xml:space="preserve">The </w:t>
      </w:r>
      <w:r w:rsidR="00673302">
        <w:t>NDMNRF</w:t>
      </w:r>
      <w:r w:rsidRPr="006414A3">
        <w:t xml:space="preserve"> coordinates the development and administration of the NEPOSS, including approval of master/management plan</w:t>
      </w:r>
      <w:r>
        <w:t>s</w:t>
      </w:r>
      <w:r w:rsidRPr="006414A3">
        <w:t xml:space="preserve">. The NEC works collaboratively with the </w:t>
      </w:r>
      <w:r w:rsidR="00673302">
        <w:t>NDMNRF</w:t>
      </w:r>
      <w:r w:rsidRPr="006414A3">
        <w:t xml:space="preserve"> to ensure that recreational activities and development within the NEPOSS are consistent with the objectives and policies of the NEP.</w:t>
      </w:r>
    </w:p>
    <w:p w14:paraId="0A9B27D1" w14:textId="77777777" w:rsidR="00F06066" w:rsidRPr="006414A3" w:rsidRDefault="00F06066" w:rsidP="0003039F">
      <w:pPr>
        <w:pStyle w:val="NoSpacing"/>
        <w:spacing w:line="276" w:lineRule="auto"/>
        <w:jc w:val="both"/>
      </w:pPr>
    </w:p>
    <w:p w14:paraId="7D534035" w14:textId="111094E1" w:rsidR="00F06066" w:rsidRPr="006414A3" w:rsidRDefault="00F06066" w:rsidP="0003039F">
      <w:pPr>
        <w:pStyle w:val="NoSpacing"/>
        <w:spacing w:line="276" w:lineRule="auto"/>
        <w:jc w:val="both"/>
      </w:pPr>
      <w:r w:rsidRPr="006414A3">
        <w:t xml:space="preserve">NEPOSS lands are owned by public agencies and conservation organizations that together comprise the NEPOSS Council. Council representatives work collaboratively to further NEPOSS objectives such as promoting land acquisition and public access. The Council, which is coordinated and administered by the </w:t>
      </w:r>
      <w:r w:rsidR="00673302">
        <w:t>NDMNRF</w:t>
      </w:r>
      <w:r w:rsidRPr="006414A3">
        <w:t xml:space="preserve"> in partnership with the NEC, meets at least two times a year to discuss matters related to parks and open spaces management issues.</w:t>
      </w:r>
    </w:p>
    <w:p w14:paraId="7DD335CC" w14:textId="77777777" w:rsidR="00F06066" w:rsidRPr="006414A3" w:rsidRDefault="00F06066" w:rsidP="0003039F">
      <w:pPr>
        <w:pStyle w:val="NoSpacing"/>
        <w:spacing w:line="276" w:lineRule="auto"/>
        <w:jc w:val="both"/>
      </w:pPr>
    </w:p>
    <w:p w14:paraId="2AC3DFC0" w14:textId="77777777" w:rsidR="00F06066" w:rsidRDefault="00F06066" w:rsidP="0003039F">
      <w:pPr>
        <w:pStyle w:val="NoSpacing"/>
        <w:spacing w:line="276" w:lineRule="auto"/>
        <w:jc w:val="both"/>
      </w:pPr>
      <w:r w:rsidRPr="006414A3">
        <w:t xml:space="preserve">NEPOSS </w:t>
      </w:r>
      <w:r>
        <w:t xml:space="preserve">Council members undertook significant effort to contribute to the objectives of NEPOSS </w:t>
      </w:r>
      <w:r w:rsidRPr="006414A3">
        <w:t>in</w:t>
      </w:r>
      <w:r>
        <w:t xml:space="preserve"> 2020-2021, including a continued effort to</w:t>
      </w:r>
      <w:r w:rsidRPr="006414A3">
        <w:t xml:space="preserve"> encourage a co-ordinated and strategic approach to member agencies’ land securement efforts.</w:t>
      </w:r>
    </w:p>
    <w:p w14:paraId="376BA058" w14:textId="77777777" w:rsidR="00F06066" w:rsidRDefault="00F06066" w:rsidP="0003039F">
      <w:pPr>
        <w:pStyle w:val="NoSpacing"/>
        <w:spacing w:line="276" w:lineRule="auto"/>
        <w:jc w:val="both"/>
      </w:pPr>
    </w:p>
    <w:p w14:paraId="36F31068" w14:textId="77777777" w:rsidR="00F06066" w:rsidRDefault="00F06066" w:rsidP="0003039F">
      <w:pPr>
        <w:pStyle w:val="NoSpacing"/>
        <w:spacing w:line="276" w:lineRule="auto"/>
        <w:jc w:val="both"/>
      </w:pPr>
      <w:r>
        <w:t>Some of the highlights include</w:t>
      </w:r>
      <w:r w:rsidRPr="006414A3">
        <w:t>:</w:t>
      </w:r>
    </w:p>
    <w:p w14:paraId="25C947B7" w14:textId="77777777" w:rsidR="00F06066" w:rsidRDefault="00F06066" w:rsidP="0003039F">
      <w:pPr>
        <w:pStyle w:val="NoSpacing"/>
        <w:spacing w:line="276" w:lineRule="auto"/>
        <w:jc w:val="both"/>
      </w:pPr>
    </w:p>
    <w:p w14:paraId="35D0FA78" w14:textId="442C31E9" w:rsidR="00F06066" w:rsidRDefault="00F06066" w:rsidP="0003039F">
      <w:pPr>
        <w:pStyle w:val="NoSpacing"/>
        <w:numPr>
          <w:ilvl w:val="0"/>
          <w:numId w:val="26"/>
        </w:numPr>
        <w:spacing w:line="276" w:lineRule="auto"/>
        <w:ind w:left="284" w:hanging="284"/>
        <w:jc w:val="both"/>
      </w:pPr>
      <w:proofErr w:type="spellStart"/>
      <w:r w:rsidRPr="004D3F4F">
        <w:rPr>
          <w:b/>
          <w:bCs/>
        </w:rPr>
        <w:t>Belfountain</w:t>
      </w:r>
      <w:proofErr w:type="spellEnd"/>
      <w:r w:rsidRPr="004D3F4F">
        <w:rPr>
          <w:b/>
          <w:bCs/>
        </w:rPr>
        <w:t xml:space="preserve"> Conservation Area Management Plan</w:t>
      </w:r>
      <w:r>
        <w:t xml:space="preserve"> was approved in 202</w:t>
      </w:r>
      <w:r w:rsidR="00AB2342">
        <w:t>1</w:t>
      </w:r>
      <w:r>
        <w:t xml:space="preserve">. The </w:t>
      </w:r>
      <w:proofErr w:type="spellStart"/>
      <w:r w:rsidRPr="004D3F4F">
        <w:t>Belfountain</w:t>
      </w:r>
      <w:proofErr w:type="spellEnd"/>
      <w:r w:rsidRPr="004D3F4F">
        <w:t xml:space="preserve"> Conservation Area is renowned for its</w:t>
      </w:r>
      <w:r>
        <w:t xml:space="preserve"> </w:t>
      </w:r>
      <w:r w:rsidRPr="004D3F4F">
        <w:t>significant natural and cultural features. Large portions of the property are identified as part</w:t>
      </w:r>
      <w:r>
        <w:t xml:space="preserve"> </w:t>
      </w:r>
      <w:r w:rsidRPr="004D3F4F">
        <w:t>of a provincial Area of Natural and Scientific Interest (ANSI) and an Environmentally</w:t>
      </w:r>
      <w:r>
        <w:t xml:space="preserve"> </w:t>
      </w:r>
      <w:r w:rsidRPr="004D3F4F">
        <w:t>Significant Area (ESA), as well as a Cultural Heritage Landscap</w:t>
      </w:r>
      <w:r>
        <w:t>e.</w:t>
      </w:r>
      <w:r w:rsidRPr="0051357B">
        <w:t xml:space="preserve"> </w:t>
      </w:r>
      <w:r>
        <w:t xml:space="preserve">The </w:t>
      </w:r>
      <w:proofErr w:type="spellStart"/>
      <w:r>
        <w:t>Belfountain</w:t>
      </w:r>
      <w:proofErr w:type="spellEnd"/>
      <w:r>
        <w:t xml:space="preserve"> area is one of the most challenging areas in the NEP to balance competing interests.</w:t>
      </w:r>
      <w:r w:rsidRPr="0051357B">
        <w:t xml:space="preserve"> The Management Plan attempts to respond to </w:t>
      </w:r>
      <w:r>
        <w:t>numerous</w:t>
      </w:r>
      <w:r w:rsidRPr="0051357B">
        <w:t xml:space="preserve"> challenges associated with the high level of visitation in the CA and the hamlet of </w:t>
      </w:r>
      <w:proofErr w:type="spellStart"/>
      <w:r w:rsidRPr="0051357B">
        <w:t>Belfountain</w:t>
      </w:r>
      <w:proofErr w:type="spellEnd"/>
      <w:r w:rsidRPr="0051357B">
        <w:t xml:space="preserve">. </w:t>
      </w:r>
    </w:p>
    <w:p w14:paraId="2D258FE8" w14:textId="77777777" w:rsidR="00F06066" w:rsidRPr="00FB4628" w:rsidRDefault="00F06066" w:rsidP="0003039F">
      <w:pPr>
        <w:pStyle w:val="NoSpacing"/>
        <w:numPr>
          <w:ilvl w:val="0"/>
          <w:numId w:val="26"/>
        </w:numPr>
        <w:spacing w:line="276" w:lineRule="auto"/>
        <w:ind w:left="284" w:hanging="284"/>
        <w:jc w:val="both"/>
      </w:pPr>
      <w:r>
        <w:t xml:space="preserve">Conservation Halton received final approval for the </w:t>
      </w:r>
      <w:r w:rsidRPr="008E5A82">
        <w:rPr>
          <w:b/>
          <w:bCs/>
        </w:rPr>
        <w:t>Kelso Conservation Area and Glen Eden Master Plan</w:t>
      </w:r>
      <w:r>
        <w:rPr>
          <w:b/>
          <w:bCs/>
        </w:rPr>
        <w:t xml:space="preserve"> </w:t>
      </w:r>
      <w:r>
        <w:t xml:space="preserve">in early 2021. </w:t>
      </w:r>
      <w:r w:rsidRPr="008E5A82">
        <w:t>Conserva</w:t>
      </w:r>
      <w:r>
        <w:t>tion</w:t>
      </w:r>
      <w:r w:rsidRPr="008E5A82">
        <w:t xml:space="preserve"> Halton completed </w:t>
      </w:r>
      <w:r>
        <w:t xml:space="preserve">a </w:t>
      </w:r>
      <w:r w:rsidRPr="008E5A82">
        <w:t xml:space="preserve">three phased process to update the </w:t>
      </w:r>
      <w:r>
        <w:t>previous 2002 M</w:t>
      </w:r>
      <w:r w:rsidRPr="008E5A82">
        <w:t xml:space="preserve">aster </w:t>
      </w:r>
      <w:r>
        <w:t>P</w:t>
      </w:r>
      <w:r w:rsidRPr="008E5A82">
        <w:t xml:space="preserve">lan for </w:t>
      </w:r>
      <w:r>
        <w:t xml:space="preserve">what is considered </w:t>
      </w:r>
      <w:r w:rsidRPr="008E5A82">
        <w:t>its flagship park</w:t>
      </w:r>
      <w:r>
        <w:t>.</w:t>
      </w:r>
      <w:r w:rsidRPr="008E5A82">
        <w:t xml:space="preserve"> </w:t>
      </w:r>
      <w:r>
        <w:t xml:space="preserve">The </w:t>
      </w:r>
      <w:r w:rsidRPr="008E5A82">
        <w:t xml:space="preserve">update </w:t>
      </w:r>
      <w:r>
        <w:t>recognizes</w:t>
      </w:r>
      <w:r w:rsidRPr="008E5A82">
        <w:t xml:space="preserve"> that the visita</w:t>
      </w:r>
      <w:r>
        <w:t>tion</w:t>
      </w:r>
      <w:r w:rsidRPr="008E5A82">
        <w:t xml:space="preserve"> needs</w:t>
      </w:r>
      <w:r>
        <w:t>,</w:t>
      </w:r>
      <w:r w:rsidRPr="008E5A82">
        <w:t xml:space="preserve"> popula</w:t>
      </w:r>
      <w:r>
        <w:t>tion</w:t>
      </w:r>
      <w:r w:rsidRPr="008E5A82">
        <w:t xml:space="preserve"> growth, infrastructure challenges, best management prac</w:t>
      </w:r>
      <w:r>
        <w:rPr>
          <w:rFonts w:ascii="Arial" w:eastAsia="Arial" w:hAnsi="Arial" w:cs="Arial"/>
        </w:rPr>
        <w:t>ti</w:t>
      </w:r>
      <w:r w:rsidRPr="008E5A82">
        <w:t>ces, planning principles and land use direc</w:t>
      </w:r>
      <w:r>
        <w:t>ti</w:t>
      </w:r>
      <w:r w:rsidRPr="008E5A82">
        <w:t>ons have evolved in the last 15 years, as well as the economic drivers</w:t>
      </w:r>
      <w:r>
        <w:t>.</w:t>
      </w:r>
      <w:r w:rsidRPr="008E5A82">
        <w:rPr>
          <w:rFonts w:ascii="Arial" w:hAnsi="Arial" w:cs="Arial"/>
          <w:szCs w:val="24"/>
        </w:rPr>
        <w:t xml:space="preserve"> </w:t>
      </w:r>
      <w:r>
        <w:rPr>
          <w:rFonts w:ascii="Arial" w:hAnsi="Arial" w:cs="Arial"/>
          <w:szCs w:val="24"/>
        </w:rPr>
        <w:t xml:space="preserve">The complexity of </w:t>
      </w:r>
      <w:r>
        <w:rPr>
          <w:rFonts w:ascii="Arial" w:hAnsi="Arial" w:cs="Arial"/>
          <w:szCs w:val="24"/>
        </w:rPr>
        <w:lastRenderedPageBreak/>
        <w:t xml:space="preserve">developing a Master Plan for a large and popular park with multiple recreational opportunities and environmentally sensitive areas has been acknowledged. CH spent more than four years engaging with the community and stakeholders and building a relationship with the </w:t>
      </w:r>
      <w:proofErr w:type="spellStart"/>
      <w:r>
        <w:rPr>
          <w:rFonts w:ascii="Arial" w:hAnsi="Arial" w:cs="Arial"/>
          <w:szCs w:val="24"/>
        </w:rPr>
        <w:t>Mississaugas</w:t>
      </w:r>
      <w:proofErr w:type="spellEnd"/>
      <w:r>
        <w:rPr>
          <w:rFonts w:ascii="Arial" w:hAnsi="Arial" w:cs="Arial"/>
          <w:szCs w:val="24"/>
        </w:rPr>
        <w:t xml:space="preserve"> of the Credit First Nation in order to move the Master Plan forward. </w:t>
      </w:r>
    </w:p>
    <w:p w14:paraId="150E879B" w14:textId="77777777" w:rsidR="00F06066" w:rsidRPr="00FB4628" w:rsidRDefault="00F06066" w:rsidP="0003039F">
      <w:pPr>
        <w:pStyle w:val="ListParagraph"/>
        <w:numPr>
          <w:ilvl w:val="0"/>
          <w:numId w:val="26"/>
        </w:numPr>
        <w:shd w:val="clear" w:color="auto" w:fill="FFFFFF" w:themeFill="background1"/>
        <w:spacing w:after="0"/>
        <w:ind w:left="360"/>
        <w:contextualSpacing w:val="0"/>
        <w:jc w:val="both"/>
        <w:rPr>
          <w:rFonts w:eastAsiaTheme="minorEastAsia"/>
          <w:color w:val="000000" w:themeColor="text1"/>
          <w:szCs w:val="24"/>
          <w:shd w:val="clear" w:color="auto" w:fill="FFFFFF"/>
        </w:rPr>
      </w:pPr>
      <w:r>
        <w:rPr>
          <w:rFonts w:eastAsiaTheme="minorEastAsia"/>
          <w:bCs/>
          <w:color w:val="000000" w:themeColor="text1"/>
          <w:szCs w:val="24"/>
          <w:shd w:val="clear" w:color="auto" w:fill="FFFFFF"/>
        </w:rPr>
        <w:t xml:space="preserve">The </w:t>
      </w:r>
      <w:r w:rsidRPr="00FB4628">
        <w:rPr>
          <w:rFonts w:eastAsiaTheme="minorEastAsia"/>
          <w:b/>
          <w:color w:val="000000" w:themeColor="text1"/>
          <w:szCs w:val="24"/>
          <w:shd w:val="clear" w:color="auto" w:fill="FFFFFF"/>
        </w:rPr>
        <w:t>Bruce Train Conservancy</w:t>
      </w:r>
      <w:r w:rsidRPr="00FB4628">
        <w:rPr>
          <w:rFonts w:eastAsiaTheme="minorEastAsia"/>
          <w:color w:val="000000" w:themeColor="text1"/>
          <w:szCs w:val="24"/>
          <w:shd w:val="clear" w:color="auto" w:fill="FFFFFF"/>
        </w:rPr>
        <w:t xml:space="preserve"> </w:t>
      </w:r>
      <w:r w:rsidRPr="00FB4628">
        <w:rPr>
          <w:color w:val="000000" w:themeColor="text1"/>
          <w:szCs w:val="24"/>
          <w:lang w:val="en-US"/>
        </w:rPr>
        <w:t>successfully acquired 13 properties comprising more than 1,074 acres and securing 6,055 meters of the permanent route of the Bruce Trail.  Included in the acquisitions is 533 acres of the Maple Cross Nature Reserve at Cape Chin on the Bruce Peninsula</w:t>
      </w:r>
      <w:r w:rsidRPr="00FB4628">
        <w:rPr>
          <w:rFonts w:ascii="Arial" w:hAnsi="Arial" w:cs="Arial"/>
          <w:color w:val="000000" w:themeColor="text1"/>
          <w:szCs w:val="24"/>
        </w:rPr>
        <w:t xml:space="preserve">, which represents the largest solo acquisition of land in BTC history, </w:t>
      </w:r>
      <w:r w:rsidRPr="00FB4628">
        <w:rPr>
          <w:color w:val="000000" w:themeColor="text1"/>
          <w:szCs w:val="24"/>
          <w:lang w:val="en-US"/>
        </w:rPr>
        <w:t xml:space="preserve">and </w:t>
      </w:r>
      <w:r>
        <w:rPr>
          <w:color w:val="000000" w:themeColor="text1"/>
          <w:szCs w:val="24"/>
          <w:lang w:val="en-US"/>
        </w:rPr>
        <w:t xml:space="preserve">192 acres </w:t>
      </w:r>
      <w:r w:rsidRPr="00FB4628">
        <w:rPr>
          <w:color w:val="000000" w:themeColor="text1"/>
          <w:szCs w:val="24"/>
          <w:lang w:val="en-US"/>
        </w:rPr>
        <w:t xml:space="preserve">of the provincial Pine River Nature Reserve in </w:t>
      </w:r>
      <w:proofErr w:type="spellStart"/>
      <w:r w:rsidRPr="00FB4628">
        <w:rPr>
          <w:color w:val="000000" w:themeColor="text1"/>
          <w:szCs w:val="24"/>
          <w:lang w:val="en-US"/>
        </w:rPr>
        <w:t>Mulmur</w:t>
      </w:r>
      <w:proofErr w:type="spellEnd"/>
      <w:r w:rsidRPr="00FB4628">
        <w:rPr>
          <w:color w:val="000000" w:themeColor="text1"/>
          <w:szCs w:val="24"/>
          <w:lang w:val="en-US"/>
        </w:rPr>
        <w:t xml:space="preserve"> Township, which contains important wetland and </w:t>
      </w:r>
      <w:r>
        <w:rPr>
          <w:color w:val="000000" w:themeColor="text1"/>
          <w:szCs w:val="24"/>
          <w:lang w:val="en-US"/>
        </w:rPr>
        <w:t xml:space="preserve">climax forest </w:t>
      </w:r>
      <w:r w:rsidRPr="00FB4628">
        <w:rPr>
          <w:color w:val="000000" w:themeColor="text1"/>
          <w:szCs w:val="24"/>
          <w:lang w:val="en-US"/>
        </w:rPr>
        <w:t xml:space="preserve">habitats.   </w:t>
      </w:r>
    </w:p>
    <w:p w14:paraId="6975145B" w14:textId="77777777" w:rsidR="00F06066" w:rsidRPr="00FB4628" w:rsidRDefault="00F06066" w:rsidP="0003039F">
      <w:pPr>
        <w:pStyle w:val="NoSpacing"/>
        <w:spacing w:line="276" w:lineRule="auto"/>
        <w:jc w:val="both"/>
        <w:rPr>
          <w:color w:val="000000" w:themeColor="text1"/>
          <w:szCs w:val="24"/>
        </w:rPr>
      </w:pPr>
    </w:p>
    <w:p w14:paraId="4B9AD919" w14:textId="77777777" w:rsidR="00F06066" w:rsidRDefault="00F06066" w:rsidP="0003039F">
      <w:pPr>
        <w:pStyle w:val="NoSpacing"/>
        <w:spacing w:line="276" w:lineRule="auto"/>
        <w:jc w:val="both"/>
      </w:pPr>
      <w:r>
        <w:t xml:space="preserve">An ongoing challenge continuing to be faced by the Council member agencies is with respect to increased visitation, and the capacity issues and conflicts that arise as a result, including parking, traffic and need for additional infrastructure to support users.  The Council is providing a forum to engage in dialogue on how to address these challenges and share positive solutions.  For example, many members have identified collaborations with local municipalities to align “plan ahead” messaging, setting visitor area capacities, to plan and design infrastructure and manage trespass and other violations, including through education. </w:t>
      </w:r>
    </w:p>
    <w:p w14:paraId="0E877F75" w14:textId="77777777" w:rsidR="00F06066" w:rsidRDefault="00F06066" w:rsidP="0003039F">
      <w:pPr>
        <w:pStyle w:val="NoSpacing"/>
        <w:spacing w:line="276" w:lineRule="auto"/>
        <w:jc w:val="both"/>
      </w:pPr>
    </w:p>
    <w:p w14:paraId="7F316A24" w14:textId="77777777" w:rsidR="00F06066" w:rsidRPr="00EF22D3" w:rsidRDefault="00F06066" w:rsidP="0003039F">
      <w:pPr>
        <w:pStyle w:val="NoSpacing"/>
        <w:spacing w:line="276" w:lineRule="auto"/>
        <w:jc w:val="both"/>
        <w:rPr>
          <w:u w:val="single"/>
          <w:lang w:val="en-US"/>
        </w:rPr>
      </w:pPr>
      <w:r>
        <w:t>Acknowledging</w:t>
      </w:r>
      <w:r w:rsidRPr="00EF22D3">
        <w:t xml:space="preserve"> strong benefit</w:t>
      </w:r>
      <w:r>
        <w:t xml:space="preserve"> in</w:t>
      </w:r>
      <w:r w:rsidRPr="00EF22D3">
        <w:t xml:space="preserve"> taking a </w:t>
      </w:r>
      <w:r>
        <w:t>“</w:t>
      </w:r>
      <w:r w:rsidRPr="00EF22D3">
        <w:t>Two-eyed Seeing approach</w:t>
      </w:r>
      <w:r>
        <w:t>”</w:t>
      </w:r>
      <w:r w:rsidRPr="00EF22D3">
        <w:t xml:space="preserve">, </w:t>
      </w:r>
      <w:r w:rsidRPr="00FB4628">
        <w:rPr>
          <w:b/>
          <w:bCs/>
        </w:rPr>
        <w:t>Parks Canada</w:t>
      </w:r>
      <w:r>
        <w:t xml:space="preserve"> has been </w:t>
      </w:r>
      <w:r w:rsidRPr="00EF22D3">
        <w:t>working with the S</w:t>
      </w:r>
      <w:r>
        <w:t xml:space="preserve">augeen </w:t>
      </w:r>
      <w:r w:rsidRPr="00EF22D3">
        <w:t>O</w:t>
      </w:r>
      <w:r>
        <w:t xml:space="preserve">jibway </w:t>
      </w:r>
      <w:r w:rsidRPr="00EF22D3">
        <w:t>N</w:t>
      </w:r>
      <w:r>
        <w:t>ation (SON)</w:t>
      </w:r>
      <w:r w:rsidRPr="00EF22D3">
        <w:t xml:space="preserve"> and other partners, to protect species at risk and of cultural importance, and culturally significant places and values. </w:t>
      </w:r>
      <w:r>
        <w:t xml:space="preserve">Parks Canada has also </w:t>
      </w:r>
      <w:r w:rsidRPr="00EF22D3">
        <w:t xml:space="preserve">partnered with </w:t>
      </w:r>
      <w:r>
        <w:t xml:space="preserve">the </w:t>
      </w:r>
      <w:r w:rsidRPr="00EF22D3">
        <w:t>M</w:t>
      </w:r>
      <w:r>
        <w:t>inistry of Transportation (M</w:t>
      </w:r>
      <w:r w:rsidRPr="00EF22D3">
        <w:t>TO</w:t>
      </w:r>
      <w:r>
        <w:t>)</w:t>
      </w:r>
      <w:r w:rsidRPr="00EF22D3">
        <w:t xml:space="preserve"> to build eco-passages and fences along </w:t>
      </w:r>
      <w:r>
        <w:t>the busy main provincial highway accessing the Park, and has</w:t>
      </w:r>
      <w:r w:rsidRPr="00EF22D3">
        <w:t xml:space="preserve"> developed citizen science programs in multiple communities to protect nesting turtles, mitigating road mortality in high traffic areas.</w:t>
      </w:r>
    </w:p>
    <w:p w14:paraId="25C1E196" w14:textId="77777777" w:rsidR="00F06066" w:rsidRDefault="00F06066" w:rsidP="0003039F">
      <w:pPr>
        <w:pStyle w:val="NoSpacing"/>
        <w:spacing w:line="276" w:lineRule="auto"/>
        <w:jc w:val="both"/>
      </w:pPr>
    </w:p>
    <w:p w14:paraId="19F810BC" w14:textId="77777777" w:rsidR="00F06066" w:rsidRDefault="00F06066" w:rsidP="0003039F">
      <w:pPr>
        <w:pStyle w:val="NoSpacing"/>
        <w:spacing w:line="276" w:lineRule="auto"/>
        <w:jc w:val="both"/>
      </w:pPr>
      <w:r w:rsidRPr="006414A3">
        <w:t xml:space="preserve">The NEPOSS Council </w:t>
      </w:r>
      <w:r>
        <w:t>continues to participate</w:t>
      </w:r>
      <w:r w:rsidRPr="006414A3">
        <w:t xml:space="preserve"> in the update of the NEP</w:t>
      </w:r>
      <w:r>
        <w:t>O</w:t>
      </w:r>
      <w:r w:rsidRPr="006414A3">
        <w:t>SS Planning Manual (2012)</w:t>
      </w:r>
      <w:r>
        <w:t xml:space="preserve">, which is used by NEPOSS agencies to guide the management/master planning process. </w:t>
      </w:r>
    </w:p>
    <w:p w14:paraId="25A4B6B6" w14:textId="77777777" w:rsidR="00D130F2" w:rsidRDefault="00D130F2">
      <w:pPr>
        <w:rPr>
          <w:rFonts w:asciiTheme="majorHAnsi" w:eastAsiaTheme="majorEastAsia" w:hAnsiTheme="majorHAnsi" w:cstheme="majorBidi"/>
          <w:b/>
          <w:bCs/>
          <w:sz w:val="32"/>
          <w:szCs w:val="26"/>
        </w:rPr>
      </w:pPr>
      <w:bookmarkStart w:id="74" w:name="_Hlk74581018"/>
      <w:r>
        <w:br w:type="page"/>
      </w:r>
    </w:p>
    <w:p w14:paraId="039D9A7E" w14:textId="0DFC5DBC" w:rsidR="00F06066" w:rsidRDefault="00F06066" w:rsidP="009B0CE1">
      <w:pPr>
        <w:pStyle w:val="Heading2"/>
      </w:pPr>
      <w:bookmarkStart w:id="75" w:name="_Toc74895914"/>
      <w:r>
        <w:lastRenderedPageBreak/>
        <w:t>Compliance Program</w:t>
      </w:r>
      <w:bookmarkEnd w:id="75"/>
    </w:p>
    <w:p w14:paraId="6B712EEA" w14:textId="77777777" w:rsidR="0003039F" w:rsidRDefault="0003039F" w:rsidP="0003039F">
      <w:pPr>
        <w:pStyle w:val="NoSpacing"/>
        <w:spacing w:line="276" w:lineRule="auto"/>
        <w:jc w:val="both"/>
      </w:pPr>
    </w:p>
    <w:p w14:paraId="503C78A3" w14:textId="2CF91A42" w:rsidR="00F06066" w:rsidRPr="006414A3" w:rsidRDefault="00F06066" w:rsidP="0003039F">
      <w:pPr>
        <w:pStyle w:val="NoSpacing"/>
        <w:spacing w:line="276" w:lineRule="auto"/>
        <w:jc w:val="both"/>
      </w:pPr>
      <w:r w:rsidRPr="006414A3">
        <w:t>The NEC Compliance Program is responsible for inspections, investigations and enforcement activities within the NEC's area of Development Control. The Compliance Program plays an important role in the successful implementation of the Niagara Escarpment program</w:t>
      </w:r>
      <w:r>
        <w:t xml:space="preserve"> by </w:t>
      </w:r>
      <w:r w:rsidRPr="006414A3">
        <w:t>ensuring compliance with the NEPDA and its regulations.</w:t>
      </w:r>
    </w:p>
    <w:p w14:paraId="3AECED24" w14:textId="77777777" w:rsidR="00F06066" w:rsidRPr="006414A3" w:rsidRDefault="00F06066" w:rsidP="0003039F">
      <w:pPr>
        <w:pStyle w:val="NoSpacing"/>
        <w:spacing w:line="276" w:lineRule="auto"/>
        <w:jc w:val="both"/>
      </w:pPr>
    </w:p>
    <w:p w14:paraId="2E525572" w14:textId="4A511E1F" w:rsidR="00F06066" w:rsidRPr="006414A3" w:rsidRDefault="00F06066" w:rsidP="0003039F">
      <w:pPr>
        <w:pStyle w:val="NoSpacing"/>
        <w:spacing w:line="276" w:lineRule="auto"/>
        <w:jc w:val="both"/>
      </w:pPr>
      <w:r w:rsidRPr="006414A3">
        <w:t xml:space="preserve">The Compliance Program is a shared responsibility between the NEC and the </w:t>
      </w:r>
      <w:r w:rsidR="00673302">
        <w:t>NDMNRF</w:t>
      </w:r>
      <w:r w:rsidRPr="006414A3">
        <w:t xml:space="preserve">, and is guided by an Inspections, Investigation and Enforcement Protocol, which was last updated in January 2015. The </w:t>
      </w:r>
      <w:r>
        <w:t>P</w:t>
      </w:r>
      <w:r w:rsidRPr="006414A3">
        <w:t xml:space="preserve">rotocol lays out the various roles and responsibilities for staff and provides mechanisms for shared oversight of the program and resolution of issues. Through the protocol, the </w:t>
      </w:r>
      <w:r w:rsidR="00673302">
        <w:t>NDMNRF</w:t>
      </w:r>
      <w:r w:rsidRPr="006414A3">
        <w:t>’s Conservation Officers assist with complex investigations, prosecutions and higher risk inspections.</w:t>
      </w:r>
    </w:p>
    <w:p w14:paraId="27A4C850" w14:textId="77777777" w:rsidR="00F06066" w:rsidRPr="006414A3" w:rsidRDefault="00F06066" w:rsidP="0003039F">
      <w:pPr>
        <w:pStyle w:val="NoSpacing"/>
        <w:spacing w:line="276" w:lineRule="auto"/>
        <w:jc w:val="both"/>
      </w:pPr>
    </w:p>
    <w:p w14:paraId="77A56CFE" w14:textId="24FD670D" w:rsidR="00F06066" w:rsidRPr="006414A3" w:rsidRDefault="00F06066" w:rsidP="0003039F">
      <w:pPr>
        <w:pStyle w:val="NoSpacing"/>
        <w:spacing w:line="276" w:lineRule="auto"/>
        <w:jc w:val="both"/>
      </w:pPr>
      <w:r w:rsidRPr="006414A3">
        <w:t xml:space="preserve">The NEC has implemented a risk-based approach to compliance to make strategic, risk-informed decisions about priorities and responses. The NEC, in consultation with </w:t>
      </w:r>
      <w:r w:rsidR="00673302">
        <w:t>NDMNRF</w:t>
      </w:r>
      <w:r w:rsidRPr="006414A3">
        <w:t xml:space="preserve"> Enforcement Branch, uses this approach to determine the most appropriate response to compliance issues from a suite of options in the compliance continuum. Figure 9 below illustrates the range of approaches applied by the NEC.</w:t>
      </w:r>
    </w:p>
    <w:p w14:paraId="20533480" w14:textId="77777777" w:rsidR="00F06066" w:rsidRDefault="00F06066" w:rsidP="0003039F">
      <w:pPr>
        <w:pStyle w:val="NoSpacing"/>
        <w:spacing w:line="276" w:lineRule="auto"/>
      </w:pPr>
    </w:p>
    <w:p w14:paraId="3311DF74" w14:textId="77777777" w:rsidR="00F06066" w:rsidRPr="00EB1696" w:rsidRDefault="00F06066" w:rsidP="00F06066">
      <w:pPr>
        <w:rPr>
          <w:b/>
          <w:color w:val="212121"/>
          <w:spacing w:val="3"/>
          <w:w w:val="110"/>
        </w:rPr>
      </w:pPr>
      <w:r w:rsidRPr="003D2E28">
        <w:rPr>
          <w:noProof/>
          <w:lang w:eastAsia="en-CA"/>
        </w:rPr>
        <w:drawing>
          <wp:inline distT="0" distB="0" distL="0" distR="0" wp14:anchorId="4615343F" wp14:editId="089B66F4">
            <wp:extent cx="5942911" cy="705363"/>
            <wp:effectExtent l="0" t="0" r="1270" b="0"/>
            <wp:docPr id="7" name="Picture 7" descr="Figure 9 illustrates the range of compliance approaches applied by the N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12119"/>
                    <a:stretch/>
                  </pic:blipFill>
                  <pic:spPr bwMode="auto">
                    <a:xfrm>
                      <a:off x="0" y="0"/>
                      <a:ext cx="5942911" cy="705363"/>
                    </a:xfrm>
                    <a:prstGeom prst="rect">
                      <a:avLst/>
                    </a:prstGeom>
                    <a:noFill/>
                    <a:ln>
                      <a:noFill/>
                    </a:ln>
                    <a:extLst>
                      <a:ext uri="{53640926-AAD7-44D8-BBD7-CCE9431645EC}">
                        <a14:shadowObscured xmlns:a14="http://schemas.microsoft.com/office/drawing/2010/main"/>
                      </a:ext>
                    </a:extLst>
                  </pic:spPr>
                </pic:pic>
              </a:graphicData>
            </a:graphic>
          </wp:inline>
        </w:drawing>
      </w:r>
      <w:r w:rsidRPr="0652E0E4">
        <w:rPr>
          <w:b/>
          <w:bCs/>
          <w:color w:val="212121"/>
          <w:spacing w:val="3"/>
          <w:w w:val="110"/>
        </w:rPr>
        <w:t>Figure 9</w:t>
      </w:r>
    </w:p>
    <w:p w14:paraId="1AFD32FE" w14:textId="77777777" w:rsidR="00F06066" w:rsidRDefault="00F06066" w:rsidP="0003039F">
      <w:pPr>
        <w:pStyle w:val="NoSpacing"/>
        <w:spacing w:line="276" w:lineRule="auto"/>
        <w:jc w:val="both"/>
      </w:pPr>
      <w:r w:rsidRPr="00A34876">
        <w:t>To support a risk-based approach to compliance, the NEC maintains a system to document and</w:t>
      </w:r>
      <w:r>
        <w:t xml:space="preserve"> track referrals of occurrences, fo</w:t>
      </w:r>
      <w:r w:rsidRPr="00A34876">
        <w:t xml:space="preserve">llow-up inspections, investigations, and other enforcement activities and results. This information is reported annually and is used to: assess the efficiency and effectiveness of compliance operations; provide evidence in the evaluation of potential regulatory and policy changes; and, to adjust compliance operations as deemed appropriate.  </w:t>
      </w:r>
    </w:p>
    <w:p w14:paraId="7E99EE6C" w14:textId="77777777" w:rsidR="00F06066" w:rsidRDefault="00F06066" w:rsidP="0003039F">
      <w:pPr>
        <w:pStyle w:val="NoSpacing"/>
        <w:spacing w:line="276" w:lineRule="auto"/>
        <w:jc w:val="both"/>
      </w:pPr>
    </w:p>
    <w:p w14:paraId="725C8F41" w14:textId="77777777" w:rsidR="00F06066" w:rsidRDefault="00F06066" w:rsidP="0003039F">
      <w:pPr>
        <w:pStyle w:val="NoSpacing"/>
        <w:spacing w:line="276" w:lineRule="auto"/>
        <w:jc w:val="both"/>
      </w:pPr>
      <w:r w:rsidRPr="00A34876">
        <w:t>The results for 201</w:t>
      </w:r>
      <w:r>
        <w:t>9-20</w:t>
      </w:r>
      <w:r w:rsidRPr="00A34876">
        <w:t xml:space="preserve"> and 20</w:t>
      </w:r>
      <w:r>
        <w:t>20-21</w:t>
      </w:r>
      <w:r w:rsidRPr="00A34876">
        <w:t xml:space="preserve"> are shown below.</w:t>
      </w:r>
    </w:p>
    <w:p w14:paraId="63F0B1B6" w14:textId="77777777" w:rsidR="00F06066" w:rsidRPr="006414A3" w:rsidRDefault="00F06066" w:rsidP="00F06066">
      <w:pPr>
        <w:jc w:val="both"/>
        <w:rPr>
          <w:sz w:val="4"/>
          <w:szCs w:val="4"/>
        </w:rPr>
      </w:pPr>
    </w:p>
    <w:tbl>
      <w:tblPr>
        <w:tblW w:w="10075" w:type="dxa"/>
        <w:tblInd w:w="-5" w:type="dxa"/>
        <w:tblLook w:val="04A0" w:firstRow="1" w:lastRow="0" w:firstColumn="1" w:lastColumn="0" w:noHBand="0" w:noVBand="1"/>
      </w:tblPr>
      <w:tblGrid>
        <w:gridCol w:w="7544"/>
        <w:gridCol w:w="1196"/>
        <w:gridCol w:w="1335"/>
      </w:tblGrid>
      <w:tr w:rsidR="00F06066" w:rsidRPr="00041C7A" w14:paraId="7C6F28F4" w14:textId="77777777" w:rsidTr="001F06C3">
        <w:trPr>
          <w:trHeight w:val="413"/>
        </w:trPr>
        <w:tc>
          <w:tcPr>
            <w:tcW w:w="7544" w:type="dxa"/>
            <w:tcBorders>
              <w:top w:val="single" w:sz="4" w:space="0" w:color="auto"/>
              <w:left w:val="single" w:sz="4" w:space="0" w:color="auto"/>
              <w:bottom w:val="single" w:sz="4" w:space="0" w:color="auto"/>
              <w:right w:val="single" w:sz="4" w:space="0" w:color="auto"/>
            </w:tcBorders>
            <w:shd w:val="clear" w:color="auto" w:fill="000000" w:themeFill="text2"/>
            <w:noWrap/>
            <w:vAlign w:val="center"/>
            <w:hideMark/>
          </w:tcPr>
          <w:p w14:paraId="23DE921F" w14:textId="77777777" w:rsidR="00F06066" w:rsidRPr="00041C7A" w:rsidRDefault="00F06066" w:rsidP="00AB2342">
            <w:pPr>
              <w:spacing w:after="0" w:line="240" w:lineRule="auto"/>
              <w:rPr>
                <w:rFonts w:ascii="Arial" w:eastAsia="Times New Roman" w:hAnsi="Arial" w:cs="Arial"/>
                <w:b/>
                <w:bCs/>
                <w:color w:val="FFFFFF"/>
                <w:sz w:val="20"/>
                <w:szCs w:val="20"/>
                <w:lang w:eastAsia="en-CA"/>
              </w:rPr>
            </w:pPr>
            <w:r w:rsidRPr="00041C7A">
              <w:rPr>
                <w:rFonts w:ascii="Arial" w:eastAsia="Times New Roman" w:hAnsi="Arial" w:cs="Arial"/>
                <w:b/>
                <w:bCs/>
                <w:color w:val="FFFFFF"/>
                <w:sz w:val="20"/>
                <w:szCs w:val="20"/>
                <w:lang w:eastAsia="en-CA"/>
              </w:rPr>
              <w:t>REACTIVE: GENERAL BREAKDOWN</w:t>
            </w:r>
          </w:p>
        </w:tc>
        <w:tc>
          <w:tcPr>
            <w:tcW w:w="1196" w:type="dxa"/>
            <w:tcBorders>
              <w:top w:val="single" w:sz="4" w:space="0" w:color="auto"/>
              <w:left w:val="nil"/>
              <w:bottom w:val="single" w:sz="4" w:space="0" w:color="auto"/>
              <w:right w:val="single" w:sz="4" w:space="0" w:color="auto"/>
            </w:tcBorders>
            <w:shd w:val="clear" w:color="auto" w:fill="000000" w:themeFill="text2"/>
            <w:noWrap/>
            <w:vAlign w:val="center"/>
            <w:hideMark/>
          </w:tcPr>
          <w:p w14:paraId="2C988488" w14:textId="77777777" w:rsidR="00F06066" w:rsidRPr="00041C7A" w:rsidRDefault="00F06066" w:rsidP="00AB2342">
            <w:pPr>
              <w:spacing w:after="0" w:line="240" w:lineRule="auto"/>
              <w:jc w:val="center"/>
              <w:rPr>
                <w:rFonts w:ascii="Arial" w:eastAsia="Times New Roman" w:hAnsi="Arial" w:cs="Arial"/>
                <w:b/>
                <w:bCs/>
                <w:color w:val="FFFFFF"/>
                <w:sz w:val="20"/>
                <w:szCs w:val="20"/>
                <w:lang w:eastAsia="en-CA"/>
              </w:rPr>
            </w:pPr>
            <w:r w:rsidRPr="00041C7A">
              <w:rPr>
                <w:rFonts w:ascii="Arial" w:eastAsia="Times New Roman" w:hAnsi="Arial" w:cs="Arial"/>
                <w:b/>
                <w:bCs/>
                <w:color w:val="FFFFFF"/>
                <w:sz w:val="20"/>
                <w:szCs w:val="20"/>
                <w:lang w:eastAsia="en-CA"/>
              </w:rPr>
              <w:t>201</w:t>
            </w:r>
            <w:r>
              <w:rPr>
                <w:rFonts w:ascii="Arial" w:eastAsia="Times New Roman" w:hAnsi="Arial" w:cs="Arial"/>
                <w:b/>
                <w:bCs/>
                <w:color w:val="FFFFFF"/>
                <w:sz w:val="20"/>
                <w:szCs w:val="20"/>
                <w:lang w:eastAsia="en-CA"/>
              </w:rPr>
              <w:t>9-20</w:t>
            </w:r>
          </w:p>
        </w:tc>
        <w:tc>
          <w:tcPr>
            <w:tcW w:w="1335" w:type="dxa"/>
            <w:tcBorders>
              <w:top w:val="single" w:sz="4" w:space="0" w:color="auto"/>
              <w:left w:val="nil"/>
              <w:bottom w:val="single" w:sz="4" w:space="0" w:color="auto"/>
              <w:right w:val="single" w:sz="4" w:space="0" w:color="auto"/>
            </w:tcBorders>
            <w:shd w:val="clear" w:color="auto" w:fill="000000" w:themeFill="text2"/>
            <w:noWrap/>
            <w:vAlign w:val="center"/>
            <w:hideMark/>
          </w:tcPr>
          <w:p w14:paraId="72212401" w14:textId="77777777" w:rsidR="00F06066" w:rsidRPr="00041C7A" w:rsidRDefault="00F06066" w:rsidP="00AB2342">
            <w:pPr>
              <w:spacing w:after="0" w:line="240" w:lineRule="auto"/>
              <w:jc w:val="center"/>
              <w:rPr>
                <w:rFonts w:ascii="Arial" w:eastAsia="Times New Roman" w:hAnsi="Arial" w:cs="Arial"/>
                <w:b/>
                <w:bCs/>
                <w:color w:val="FFFFFF"/>
                <w:sz w:val="20"/>
                <w:szCs w:val="20"/>
                <w:lang w:eastAsia="en-CA"/>
              </w:rPr>
            </w:pPr>
            <w:r w:rsidRPr="00041C7A">
              <w:rPr>
                <w:rFonts w:ascii="Arial" w:eastAsia="Times New Roman" w:hAnsi="Arial" w:cs="Arial"/>
                <w:b/>
                <w:bCs/>
                <w:color w:val="FFFFFF"/>
                <w:sz w:val="20"/>
                <w:szCs w:val="20"/>
                <w:lang w:eastAsia="en-CA"/>
              </w:rPr>
              <w:t>20</w:t>
            </w:r>
            <w:r>
              <w:rPr>
                <w:rFonts w:ascii="Arial" w:eastAsia="Times New Roman" w:hAnsi="Arial" w:cs="Arial"/>
                <w:b/>
                <w:bCs/>
                <w:color w:val="FFFFFF"/>
                <w:sz w:val="20"/>
                <w:szCs w:val="20"/>
                <w:lang w:eastAsia="en-CA"/>
              </w:rPr>
              <w:t>20</w:t>
            </w:r>
            <w:r w:rsidRPr="00041C7A">
              <w:rPr>
                <w:rFonts w:ascii="Arial" w:eastAsia="Times New Roman" w:hAnsi="Arial" w:cs="Arial"/>
                <w:b/>
                <w:bCs/>
                <w:color w:val="FFFFFF"/>
                <w:sz w:val="20"/>
                <w:szCs w:val="20"/>
                <w:lang w:eastAsia="en-CA"/>
              </w:rPr>
              <w:t>-</w:t>
            </w:r>
            <w:r>
              <w:rPr>
                <w:rFonts w:ascii="Arial" w:eastAsia="Times New Roman" w:hAnsi="Arial" w:cs="Arial"/>
                <w:b/>
                <w:bCs/>
                <w:color w:val="FFFFFF"/>
                <w:sz w:val="20"/>
                <w:szCs w:val="20"/>
                <w:lang w:eastAsia="en-CA"/>
              </w:rPr>
              <w:t>21</w:t>
            </w:r>
          </w:p>
        </w:tc>
      </w:tr>
      <w:tr w:rsidR="00F06066" w:rsidRPr="00041C7A" w14:paraId="6C584E2C" w14:textId="77777777" w:rsidTr="001F06C3">
        <w:trPr>
          <w:trHeight w:val="234"/>
        </w:trPr>
        <w:tc>
          <w:tcPr>
            <w:tcW w:w="7544" w:type="dxa"/>
            <w:tcBorders>
              <w:top w:val="nil"/>
              <w:left w:val="single" w:sz="4" w:space="0" w:color="auto"/>
              <w:bottom w:val="single" w:sz="4" w:space="0" w:color="auto"/>
              <w:right w:val="single" w:sz="4" w:space="0" w:color="auto"/>
            </w:tcBorders>
            <w:shd w:val="clear" w:color="auto" w:fill="auto"/>
            <w:noWrap/>
            <w:vAlign w:val="bottom"/>
            <w:hideMark/>
          </w:tcPr>
          <w:p w14:paraId="4F831CBD" w14:textId="77777777" w:rsidR="00F06066" w:rsidRDefault="00F06066" w:rsidP="00AB2342">
            <w:pPr>
              <w:spacing w:after="0" w:line="240" w:lineRule="auto"/>
              <w:rPr>
                <w:rFonts w:ascii="Arial" w:eastAsia="Times New Roman" w:hAnsi="Arial" w:cs="Arial"/>
                <w:b/>
                <w:sz w:val="20"/>
                <w:szCs w:val="20"/>
                <w:lang w:eastAsia="en-CA"/>
              </w:rPr>
            </w:pPr>
            <w:r w:rsidRPr="002028B0">
              <w:rPr>
                <w:rFonts w:ascii="Arial" w:eastAsia="Times New Roman" w:hAnsi="Arial" w:cs="Arial"/>
                <w:b/>
                <w:sz w:val="20"/>
                <w:szCs w:val="20"/>
                <w:lang w:eastAsia="en-CA"/>
              </w:rPr>
              <w:t>Total # of occurrences received per fiscal</w:t>
            </w:r>
          </w:p>
          <w:p w14:paraId="73F2617D" w14:textId="77777777" w:rsidR="00F06066" w:rsidRPr="002028B0" w:rsidRDefault="00F06066" w:rsidP="00AB2342">
            <w:pPr>
              <w:spacing w:after="0" w:line="240" w:lineRule="auto"/>
              <w:rPr>
                <w:rFonts w:ascii="Arial" w:eastAsia="Times New Roman" w:hAnsi="Arial" w:cs="Arial"/>
                <w:b/>
                <w:sz w:val="20"/>
                <w:szCs w:val="20"/>
                <w:lang w:eastAsia="en-CA"/>
              </w:rPr>
            </w:pPr>
          </w:p>
        </w:tc>
        <w:tc>
          <w:tcPr>
            <w:tcW w:w="1196" w:type="dxa"/>
            <w:tcBorders>
              <w:top w:val="nil"/>
              <w:left w:val="nil"/>
              <w:bottom w:val="single" w:sz="4" w:space="0" w:color="auto"/>
              <w:right w:val="single" w:sz="4" w:space="0" w:color="auto"/>
            </w:tcBorders>
            <w:shd w:val="clear" w:color="auto" w:fill="auto"/>
            <w:noWrap/>
            <w:vAlign w:val="bottom"/>
            <w:hideMark/>
          </w:tcPr>
          <w:p w14:paraId="3492E8A7" w14:textId="77777777" w:rsidR="00F06066" w:rsidRPr="002028B0" w:rsidRDefault="00F06066" w:rsidP="00AB2342">
            <w:pPr>
              <w:spacing w:after="0" w:line="240" w:lineRule="auto"/>
              <w:jc w:val="right"/>
              <w:rPr>
                <w:rFonts w:ascii="Arial" w:eastAsia="Times New Roman" w:hAnsi="Arial" w:cs="Arial"/>
                <w:b/>
                <w:sz w:val="20"/>
                <w:szCs w:val="20"/>
                <w:lang w:eastAsia="en-CA"/>
              </w:rPr>
            </w:pPr>
            <w:r>
              <w:rPr>
                <w:rFonts w:ascii="Arial" w:eastAsia="Times New Roman" w:hAnsi="Arial" w:cs="Arial"/>
                <w:b/>
                <w:sz w:val="20"/>
                <w:szCs w:val="20"/>
                <w:lang w:eastAsia="en-CA"/>
              </w:rPr>
              <w:t>195</w:t>
            </w:r>
          </w:p>
        </w:tc>
        <w:tc>
          <w:tcPr>
            <w:tcW w:w="1335" w:type="dxa"/>
            <w:tcBorders>
              <w:top w:val="nil"/>
              <w:left w:val="nil"/>
              <w:bottom w:val="single" w:sz="4" w:space="0" w:color="auto"/>
              <w:right w:val="single" w:sz="4" w:space="0" w:color="auto"/>
            </w:tcBorders>
            <w:shd w:val="clear" w:color="auto" w:fill="auto"/>
            <w:noWrap/>
            <w:vAlign w:val="bottom"/>
            <w:hideMark/>
          </w:tcPr>
          <w:p w14:paraId="02F42C68" w14:textId="77777777" w:rsidR="00F06066" w:rsidRPr="002028B0" w:rsidRDefault="00F06066" w:rsidP="00AB2342">
            <w:pPr>
              <w:spacing w:after="0" w:line="240" w:lineRule="auto"/>
              <w:jc w:val="right"/>
              <w:rPr>
                <w:rFonts w:ascii="Arial" w:eastAsia="Times New Roman" w:hAnsi="Arial" w:cs="Arial"/>
                <w:b/>
                <w:sz w:val="20"/>
                <w:szCs w:val="20"/>
                <w:lang w:eastAsia="en-CA"/>
              </w:rPr>
            </w:pPr>
            <w:r>
              <w:rPr>
                <w:rFonts w:ascii="Arial" w:eastAsia="Times New Roman" w:hAnsi="Arial" w:cs="Arial"/>
                <w:b/>
                <w:sz w:val="20"/>
                <w:szCs w:val="20"/>
                <w:lang w:eastAsia="en-CA"/>
              </w:rPr>
              <w:t>227</w:t>
            </w:r>
          </w:p>
        </w:tc>
      </w:tr>
      <w:tr w:rsidR="00F06066" w:rsidRPr="00041C7A" w14:paraId="6ED9D338" w14:textId="77777777" w:rsidTr="001F06C3">
        <w:trPr>
          <w:trHeight w:val="234"/>
        </w:trPr>
        <w:tc>
          <w:tcPr>
            <w:tcW w:w="7544" w:type="dxa"/>
            <w:tcBorders>
              <w:top w:val="nil"/>
              <w:left w:val="single" w:sz="4" w:space="0" w:color="auto"/>
              <w:bottom w:val="single" w:sz="4" w:space="0" w:color="auto"/>
              <w:right w:val="single" w:sz="4" w:space="0" w:color="auto"/>
            </w:tcBorders>
            <w:shd w:val="clear" w:color="auto" w:fill="auto"/>
            <w:noWrap/>
            <w:vAlign w:val="bottom"/>
            <w:hideMark/>
          </w:tcPr>
          <w:p w14:paraId="12BBD744" w14:textId="77777777" w:rsidR="00F06066" w:rsidRDefault="00F06066" w:rsidP="00AB2342">
            <w:pPr>
              <w:spacing w:after="0" w:line="240" w:lineRule="auto"/>
              <w:rPr>
                <w:rFonts w:ascii="Arial" w:eastAsia="Times New Roman" w:hAnsi="Arial" w:cs="Arial"/>
                <w:sz w:val="20"/>
                <w:szCs w:val="20"/>
                <w:lang w:eastAsia="en-CA"/>
              </w:rPr>
            </w:pPr>
          </w:p>
          <w:p w14:paraId="4B3DF7B0" w14:textId="77777777" w:rsidR="00F06066" w:rsidRPr="00041C7A" w:rsidRDefault="00F06066" w:rsidP="00AB2342">
            <w:pPr>
              <w:spacing w:after="0" w:line="240" w:lineRule="auto"/>
              <w:rPr>
                <w:rFonts w:ascii="Arial" w:eastAsia="Times New Roman" w:hAnsi="Arial" w:cs="Arial"/>
                <w:sz w:val="20"/>
                <w:szCs w:val="20"/>
                <w:lang w:eastAsia="en-CA"/>
              </w:rPr>
            </w:pPr>
            <w:r w:rsidRPr="00041C7A">
              <w:rPr>
                <w:rFonts w:ascii="Arial" w:eastAsia="Times New Roman" w:hAnsi="Arial" w:cs="Arial"/>
                <w:sz w:val="20"/>
                <w:szCs w:val="20"/>
                <w:lang w:eastAsia="en-CA"/>
              </w:rPr>
              <w:t>Total # of occurrences that led to site inspections</w:t>
            </w:r>
          </w:p>
        </w:tc>
        <w:tc>
          <w:tcPr>
            <w:tcW w:w="1196" w:type="dxa"/>
            <w:tcBorders>
              <w:top w:val="nil"/>
              <w:left w:val="nil"/>
              <w:bottom w:val="single" w:sz="4" w:space="0" w:color="auto"/>
              <w:right w:val="single" w:sz="4" w:space="0" w:color="auto"/>
            </w:tcBorders>
            <w:shd w:val="clear" w:color="auto" w:fill="auto"/>
            <w:noWrap/>
            <w:vAlign w:val="bottom"/>
            <w:hideMark/>
          </w:tcPr>
          <w:p w14:paraId="2353E651" w14:textId="77777777" w:rsidR="00F06066" w:rsidRPr="00041C7A" w:rsidRDefault="00F06066" w:rsidP="00AB2342">
            <w:pPr>
              <w:spacing w:after="0" w:line="240" w:lineRule="auto"/>
              <w:jc w:val="right"/>
              <w:rPr>
                <w:rFonts w:ascii="Arial" w:eastAsia="Times New Roman" w:hAnsi="Arial" w:cs="Arial"/>
                <w:sz w:val="20"/>
                <w:szCs w:val="20"/>
                <w:lang w:eastAsia="en-CA"/>
              </w:rPr>
            </w:pPr>
            <w:r>
              <w:rPr>
                <w:rFonts w:ascii="Arial" w:eastAsia="Times New Roman" w:hAnsi="Arial" w:cs="Arial"/>
                <w:sz w:val="20"/>
                <w:szCs w:val="20"/>
                <w:lang w:eastAsia="en-CA"/>
              </w:rPr>
              <w:t>151</w:t>
            </w:r>
          </w:p>
        </w:tc>
        <w:tc>
          <w:tcPr>
            <w:tcW w:w="1335" w:type="dxa"/>
            <w:tcBorders>
              <w:top w:val="nil"/>
              <w:left w:val="nil"/>
              <w:bottom w:val="single" w:sz="4" w:space="0" w:color="auto"/>
              <w:right w:val="single" w:sz="4" w:space="0" w:color="auto"/>
            </w:tcBorders>
            <w:shd w:val="clear" w:color="auto" w:fill="auto"/>
            <w:noWrap/>
            <w:vAlign w:val="bottom"/>
            <w:hideMark/>
          </w:tcPr>
          <w:p w14:paraId="64B780EC" w14:textId="169F48DB" w:rsidR="00F06066" w:rsidRPr="00041C7A" w:rsidRDefault="002C60D5" w:rsidP="00AB2342">
            <w:pPr>
              <w:spacing w:after="0" w:line="240" w:lineRule="auto"/>
              <w:jc w:val="right"/>
              <w:rPr>
                <w:rFonts w:ascii="Arial" w:eastAsia="Times New Roman" w:hAnsi="Arial" w:cs="Arial"/>
                <w:sz w:val="20"/>
                <w:szCs w:val="20"/>
                <w:lang w:eastAsia="en-CA"/>
              </w:rPr>
            </w:pPr>
            <w:r>
              <w:rPr>
                <w:rFonts w:ascii="Arial" w:eastAsia="Times New Roman" w:hAnsi="Arial" w:cs="Arial"/>
                <w:sz w:val="20"/>
                <w:szCs w:val="20"/>
                <w:lang w:eastAsia="en-CA"/>
              </w:rPr>
              <w:t>69</w:t>
            </w:r>
          </w:p>
        </w:tc>
      </w:tr>
      <w:tr w:rsidR="00F06066" w:rsidRPr="00041C7A" w14:paraId="38EC2BC3" w14:textId="77777777" w:rsidTr="001F06C3">
        <w:trPr>
          <w:trHeight w:val="234"/>
        </w:trPr>
        <w:tc>
          <w:tcPr>
            <w:tcW w:w="7544" w:type="dxa"/>
            <w:tcBorders>
              <w:top w:val="nil"/>
              <w:left w:val="single" w:sz="4" w:space="0" w:color="auto"/>
              <w:bottom w:val="single" w:sz="4" w:space="0" w:color="auto"/>
              <w:right w:val="single" w:sz="4" w:space="0" w:color="auto"/>
            </w:tcBorders>
            <w:shd w:val="clear" w:color="auto" w:fill="auto"/>
            <w:noWrap/>
            <w:vAlign w:val="bottom"/>
            <w:hideMark/>
          </w:tcPr>
          <w:p w14:paraId="3589045B" w14:textId="77777777" w:rsidR="00F06066" w:rsidRPr="00041C7A" w:rsidRDefault="00F06066" w:rsidP="00AB2342">
            <w:pPr>
              <w:spacing w:after="0" w:line="240" w:lineRule="auto"/>
              <w:rPr>
                <w:rFonts w:ascii="Arial" w:eastAsia="Times New Roman" w:hAnsi="Arial" w:cs="Arial"/>
                <w:sz w:val="20"/>
                <w:szCs w:val="20"/>
                <w:lang w:eastAsia="en-CA"/>
              </w:rPr>
            </w:pPr>
            <w:r w:rsidRPr="00041C7A">
              <w:rPr>
                <w:rFonts w:ascii="Arial" w:eastAsia="Times New Roman" w:hAnsi="Arial" w:cs="Arial"/>
                <w:sz w:val="20"/>
                <w:szCs w:val="20"/>
                <w:lang w:eastAsia="en-CA"/>
              </w:rPr>
              <w:t>Total # of occurrences assessed as high environmental risk</w:t>
            </w:r>
          </w:p>
        </w:tc>
        <w:tc>
          <w:tcPr>
            <w:tcW w:w="1196" w:type="dxa"/>
            <w:tcBorders>
              <w:top w:val="nil"/>
              <w:left w:val="nil"/>
              <w:bottom w:val="single" w:sz="4" w:space="0" w:color="auto"/>
              <w:right w:val="single" w:sz="4" w:space="0" w:color="auto"/>
            </w:tcBorders>
            <w:shd w:val="clear" w:color="auto" w:fill="auto"/>
            <w:noWrap/>
            <w:vAlign w:val="bottom"/>
            <w:hideMark/>
          </w:tcPr>
          <w:p w14:paraId="6478D805" w14:textId="77777777" w:rsidR="00F06066" w:rsidRPr="00041C7A" w:rsidRDefault="00F06066" w:rsidP="00AB2342">
            <w:pPr>
              <w:spacing w:after="0" w:line="240" w:lineRule="auto"/>
              <w:jc w:val="right"/>
              <w:rPr>
                <w:rFonts w:ascii="Arial" w:eastAsia="Times New Roman" w:hAnsi="Arial" w:cs="Arial"/>
                <w:sz w:val="20"/>
                <w:szCs w:val="20"/>
                <w:lang w:eastAsia="en-CA"/>
              </w:rPr>
            </w:pPr>
            <w:r>
              <w:rPr>
                <w:rFonts w:ascii="Arial" w:eastAsia="Times New Roman" w:hAnsi="Arial" w:cs="Arial"/>
                <w:sz w:val="20"/>
                <w:szCs w:val="20"/>
                <w:lang w:eastAsia="en-CA"/>
              </w:rPr>
              <w:t>35</w:t>
            </w:r>
          </w:p>
        </w:tc>
        <w:tc>
          <w:tcPr>
            <w:tcW w:w="1335" w:type="dxa"/>
            <w:tcBorders>
              <w:top w:val="nil"/>
              <w:left w:val="nil"/>
              <w:bottom w:val="single" w:sz="4" w:space="0" w:color="auto"/>
              <w:right w:val="single" w:sz="4" w:space="0" w:color="auto"/>
            </w:tcBorders>
            <w:shd w:val="clear" w:color="auto" w:fill="auto"/>
            <w:noWrap/>
            <w:vAlign w:val="bottom"/>
            <w:hideMark/>
          </w:tcPr>
          <w:p w14:paraId="0B04242B" w14:textId="77777777" w:rsidR="00F06066" w:rsidRPr="00041C7A" w:rsidRDefault="00F06066" w:rsidP="00AB2342">
            <w:pPr>
              <w:spacing w:after="0" w:line="240" w:lineRule="auto"/>
              <w:jc w:val="right"/>
              <w:rPr>
                <w:rFonts w:ascii="Arial" w:eastAsia="Times New Roman" w:hAnsi="Arial" w:cs="Arial"/>
                <w:sz w:val="20"/>
                <w:szCs w:val="20"/>
                <w:lang w:eastAsia="en-CA"/>
              </w:rPr>
            </w:pPr>
            <w:r>
              <w:rPr>
                <w:rFonts w:ascii="Arial" w:eastAsia="Times New Roman" w:hAnsi="Arial" w:cs="Arial"/>
                <w:sz w:val="20"/>
                <w:szCs w:val="20"/>
                <w:lang w:eastAsia="en-CA"/>
              </w:rPr>
              <w:t>62</w:t>
            </w:r>
          </w:p>
        </w:tc>
      </w:tr>
      <w:tr w:rsidR="00F06066" w:rsidRPr="00041C7A" w14:paraId="0FF23B6E" w14:textId="77777777" w:rsidTr="001F06C3">
        <w:trPr>
          <w:trHeight w:val="234"/>
        </w:trPr>
        <w:tc>
          <w:tcPr>
            <w:tcW w:w="7544" w:type="dxa"/>
            <w:tcBorders>
              <w:top w:val="nil"/>
              <w:left w:val="single" w:sz="4" w:space="0" w:color="auto"/>
              <w:bottom w:val="single" w:sz="4" w:space="0" w:color="auto"/>
              <w:right w:val="single" w:sz="4" w:space="0" w:color="auto"/>
            </w:tcBorders>
            <w:shd w:val="clear" w:color="auto" w:fill="auto"/>
            <w:noWrap/>
            <w:vAlign w:val="bottom"/>
            <w:hideMark/>
          </w:tcPr>
          <w:p w14:paraId="57579CC6" w14:textId="77777777" w:rsidR="00F06066" w:rsidRPr="00041C7A" w:rsidRDefault="00F06066" w:rsidP="00AB2342">
            <w:pPr>
              <w:spacing w:after="0" w:line="240" w:lineRule="auto"/>
              <w:rPr>
                <w:rFonts w:ascii="Arial" w:eastAsia="Times New Roman" w:hAnsi="Arial" w:cs="Arial"/>
                <w:sz w:val="20"/>
                <w:szCs w:val="20"/>
                <w:lang w:eastAsia="en-CA"/>
              </w:rPr>
            </w:pPr>
            <w:r w:rsidRPr="00041C7A">
              <w:rPr>
                <w:rFonts w:ascii="Arial" w:eastAsia="Times New Roman" w:hAnsi="Arial" w:cs="Arial"/>
                <w:sz w:val="20"/>
                <w:szCs w:val="20"/>
                <w:lang w:eastAsia="en-CA"/>
              </w:rPr>
              <w:t>Total # of occurrences assessed as med</w:t>
            </w:r>
            <w:r>
              <w:rPr>
                <w:rFonts w:ascii="Arial" w:eastAsia="Times New Roman" w:hAnsi="Arial" w:cs="Arial"/>
                <w:sz w:val="20"/>
                <w:szCs w:val="20"/>
                <w:lang w:eastAsia="en-CA"/>
              </w:rPr>
              <w:t>ium</w:t>
            </w:r>
            <w:r w:rsidRPr="00041C7A">
              <w:rPr>
                <w:rFonts w:ascii="Arial" w:eastAsia="Times New Roman" w:hAnsi="Arial" w:cs="Arial"/>
                <w:sz w:val="20"/>
                <w:szCs w:val="20"/>
                <w:lang w:eastAsia="en-CA"/>
              </w:rPr>
              <w:t xml:space="preserve"> environmental risk</w:t>
            </w:r>
          </w:p>
        </w:tc>
        <w:tc>
          <w:tcPr>
            <w:tcW w:w="1196" w:type="dxa"/>
            <w:tcBorders>
              <w:top w:val="nil"/>
              <w:left w:val="nil"/>
              <w:bottom w:val="single" w:sz="4" w:space="0" w:color="auto"/>
              <w:right w:val="single" w:sz="4" w:space="0" w:color="auto"/>
            </w:tcBorders>
            <w:shd w:val="clear" w:color="auto" w:fill="auto"/>
            <w:noWrap/>
            <w:vAlign w:val="bottom"/>
            <w:hideMark/>
          </w:tcPr>
          <w:p w14:paraId="572635F7" w14:textId="77777777" w:rsidR="00F06066" w:rsidRPr="00041C7A" w:rsidRDefault="00F06066" w:rsidP="00AB2342">
            <w:pPr>
              <w:spacing w:after="0" w:line="240" w:lineRule="auto"/>
              <w:jc w:val="right"/>
              <w:rPr>
                <w:rFonts w:ascii="Arial" w:eastAsia="Times New Roman" w:hAnsi="Arial" w:cs="Arial"/>
                <w:sz w:val="20"/>
                <w:szCs w:val="20"/>
                <w:lang w:eastAsia="en-CA"/>
              </w:rPr>
            </w:pPr>
            <w:r>
              <w:rPr>
                <w:rFonts w:ascii="Arial" w:eastAsia="Times New Roman" w:hAnsi="Arial" w:cs="Arial"/>
                <w:sz w:val="20"/>
                <w:szCs w:val="20"/>
                <w:lang w:eastAsia="en-CA"/>
              </w:rPr>
              <w:t>79</w:t>
            </w:r>
          </w:p>
        </w:tc>
        <w:tc>
          <w:tcPr>
            <w:tcW w:w="1335" w:type="dxa"/>
            <w:tcBorders>
              <w:top w:val="nil"/>
              <w:left w:val="nil"/>
              <w:bottom w:val="single" w:sz="4" w:space="0" w:color="auto"/>
              <w:right w:val="single" w:sz="4" w:space="0" w:color="auto"/>
            </w:tcBorders>
            <w:shd w:val="clear" w:color="auto" w:fill="auto"/>
            <w:noWrap/>
            <w:vAlign w:val="bottom"/>
            <w:hideMark/>
          </w:tcPr>
          <w:p w14:paraId="6FF11CFE" w14:textId="77777777" w:rsidR="00F06066" w:rsidRPr="00041C7A" w:rsidRDefault="00F06066" w:rsidP="00AB2342">
            <w:pPr>
              <w:spacing w:after="0" w:line="240" w:lineRule="auto"/>
              <w:jc w:val="right"/>
              <w:rPr>
                <w:rFonts w:ascii="Arial" w:eastAsia="Times New Roman" w:hAnsi="Arial" w:cs="Arial"/>
                <w:sz w:val="20"/>
                <w:szCs w:val="20"/>
                <w:lang w:eastAsia="en-CA"/>
              </w:rPr>
            </w:pPr>
            <w:r>
              <w:rPr>
                <w:rFonts w:ascii="Arial" w:eastAsia="Times New Roman" w:hAnsi="Arial" w:cs="Arial"/>
                <w:sz w:val="20"/>
                <w:szCs w:val="20"/>
                <w:lang w:eastAsia="en-CA"/>
              </w:rPr>
              <w:t>99</w:t>
            </w:r>
          </w:p>
        </w:tc>
      </w:tr>
      <w:tr w:rsidR="00F06066" w:rsidRPr="00041C7A" w14:paraId="7E2D4D55" w14:textId="77777777" w:rsidTr="001F06C3">
        <w:trPr>
          <w:trHeight w:val="234"/>
        </w:trPr>
        <w:tc>
          <w:tcPr>
            <w:tcW w:w="7544" w:type="dxa"/>
            <w:tcBorders>
              <w:top w:val="nil"/>
              <w:left w:val="single" w:sz="4" w:space="0" w:color="auto"/>
              <w:bottom w:val="single" w:sz="4" w:space="0" w:color="auto"/>
              <w:right w:val="single" w:sz="4" w:space="0" w:color="auto"/>
            </w:tcBorders>
            <w:shd w:val="clear" w:color="auto" w:fill="auto"/>
            <w:noWrap/>
            <w:vAlign w:val="bottom"/>
            <w:hideMark/>
          </w:tcPr>
          <w:p w14:paraId="5ADEA7E0" w14:textId="77777777" w:rsidR="00F06066" w:rsidRPr="00041C7A" w:rsidRDefault="00F06066" w:rsidP="00AB2342">
            <w:pPr>
              <w:spacing w:after="0" w:line="240" w:lineRule="auto"/>
              <w:rPr>
                <w:rFonts w:ascii="Arial" w:eastAsia="Times New Roman" w:hAnsi="Arial" w:cs="Arial"/>
                <w:sz w:val="20"/>
                <w:szCs w:val="20"/>
                <w:lang w:eastAsia="en-CA"/>
              </w:rPr>
            </w:pPr>
            <w:r w:rsidRPr="00041C7A">
              <w:rPr>
                <w:rFonts w:ascii="Arial" w:eastAsia="Times New Roman" w:hAnsi="Arial" w:cs="Arial"/>
                <w:sz w:val="20"/>
                <w:szCs w:val="20"/>
                <w:lang w:eastAsia="en-CA"/>
              </w:rPr>
              <w:t>Total # of occurrences assessed as low environmental risk</w:t>
            </w:r>
          </w:p>
        </w:tc>
        <w:tc>
          <w:tcPr>
            <w:tcW w:w="1196" w:type="dxa"/>
            <w:tcBorders>
              <w:top w:val="nil"/>
              <w:left w:val="nil"/>
              <w:bottom w:val="single" w:sz="4" w:space="0" w:color="auto"/>
              <w:right w:val="single" w:sz="4" w:space="0" w:color="auto"/>
            </w:tcBorders>
            <w:shd w:val="clear" w:color="auto" w:fill="auto"/>
            <w:noWrap/>
            <w:vAlign w:val="bottom"/>
            <w:hideMark/>
          </w:tcPr>
          <w:p w14:paraId="2ADB3011" w14:textId="77777777" w:rsidR="00F06066" w:rsidRPr="00041C7A" w:rsidRDefault="00F06066" w:rsidP="00AB2342">
            <w:pPr>
              <w:spacing w:after="0" w:line="240" w:lineRule="auto"/>
              <w:jc w:val="right"/>
              <w:rPr>
                <w:rFonts w:ascii="Arial" w:eastAsia="Times New Roman" w:hAnsi="Arial" w:cs="Arial"/>
                <w:sz w:val="20"/>
                <w:szCs w:val="20"/>
                <w:lang w:eastAsia="en-CA"/>
              </w:rPr>
            </w:pPr>
            <w:r>
              <w:rPr>
                <w:rFonts w:ascii="Arial" w:eastAsia="Times New Roman" w:hAnsi="Arial" w:cs="Arial"/>
                <w:sz w:val="20"/>
                <w:szCs w:val="20"/>
                <w:lang w:eastAsia="en-CA"/>
              </w:rPr>
              <w:t>81</w:t>
            </w:r>
          </w:p>
        </w:tc>
        <w:tc>
          <w:tcPr>
            <w:tcW w:w="1335" w:type="dxa"/>
            <w:tcBorders>
              <w:top w:val="nil"/>
              <w:left w:val="nil"/>
              <w:bottom w:val="single" w:sz="4" w:space="0" w:color="auto"/>
              <w:right w:val="single" w:sz="4" w:space="0" w:color="auto"/>
            </w:tcBorders>
            <w:shd w:val="clear" w:color="auto" w:fill="auto"/>
            <w:noWrap/>
            <w:vAlign w:val="bottom"/>
            <w:hideMark/>
          </w:tcPr>
          <w:p w14:paraId="35CFC109" w14:textId="77777777" w:rsidR="00F06066" w:rsidRPr="00041C7A" w:rsidRDefault="00F06066" w:rsidP="00AB2342">
            <w:pPr>
              <w:spacing w:after="0" w:line="240" w:lineRule="auto"/>
              <w:jc w:val="right"/>
              <w:rPr>
                <w:rFonts w:ascii="Arial" w:eastAsia="Times New Roman" w:hAnsi="Arial" w:cs="Arial"/>
                <w:sz w:val="20"/>
                <w:szCs w:val="20"/>
                <w:lang w:eastAsia="en-CA"/>
              </w:rPr>
            </w:pPr>
            <w:r>
              <w:rPr>
                <w:rFonts w:ascii="Arial" w:eastAsia="Times New Roman" w:hAnsi="Arial" w:cs="Arial"/>
                <w:sz w:val="20"/>
                <w:szCs w:val="20"/>
                <w:lang w:eastAsia="en-CA"/>
              </w:rPr>
              <w:t>66</w:t>
            </w:r>
          </w:p>
        </w:tc>
      </w:tr>
      <w:tr w:rsidR="00F06066" w:rsidRPr="00041C7A" w14:paraId="091542CC" w14:textId="77777777" w:rsidTr="001F06C3">
        <w:trPr>
          <w:trHeight w:val="234"/>
        </w:trPr>
        <w:tc>
          <w:tcPr>
            <w:tcW w:w="7544" w:type="dxa"/>
            <w:tcBorders>
              <w:top w:val="nil"/>
              <w:left w:val="single" w:sz="4" w:space="0" w:color="auto"/>
              <w:bottom w:val="single" w:sz="4" w:space="0" w:color="auto"/>
              <w:right w:val="single" w:sz="4" w:space="0" w:color="auto"/>
            </w:tcBorders>
            <w:shd w:val="clear" w:color="auto" w:fill="auto"/>
            <w:noWrap/>
            <w:vAlign w:val="bottom"/>
            <w:hideMark/>
          </w:tcPr>
          <w:p w14:paraId="2AFCB8A1" w14:textId="77777777" w:rsidR="00F06066" w:rsidRPr="00041C7A" w:rsidRDefault="00F06066" w:rsidP="00AB2342">
            <w:pPr>
              <w:spacing w:after="0" w:line="240" w:lineRule="auto"/>
              <w:rPr>
                <w:rFonts w:ascii="Arial" w:eastAsia="Times New Roman" w:hAnsi="Arial" w:cs="Arial"/>
                <w:sz w:val="20"/>
                <w:szCs w:val="20"/>
                <w:lang w:eastAsia="en-CA"/>
              </w:rPr>
            </w:pPr>
            <w:r w:rsidRPr="00041C7A">
              <w:rPr>
                <w:rFonts w:ascii="Arial" w:eastAsia="Times New Roman" w:hAnsi="Arial" w:cs="Arial"/>
                <w:sz w:val="20"/>
                <w:szCs w:val="20"/>
                <w:lang w:eastAsia="en-CA"/>
              </w:rPr>
              <w:t>Total # of occurrences received not subject to NEPDA</w:t>
            </w:r>
          </w:p>
        </w:tc>
        <w:tc>
          <w:tcPr>
            <w:tcW w:w="1196" w:type="dxa"/>
            <w:tcBorders>
              <w:top w:val="nil"/>
              <w:left w:val="nil"/>
              <w:bottom w:val="single" w:sz="4" w:space="0" w:color="auto"/>
              <w:right w:val="single" w:sz="4" w:space="0" w:color="auto"/>
            </w:tcBorders>
            <w:shd w:val="clear" w:color="auto" w:fill="auto"/>
            <w:noWrap/>
            <w:vAlign w:val="bottom"/>
            <w:hideMark/>
          </w:tcPr>
          <w:p w14:paraId="3C43D0FB" w14:textId="77777777" w:rsidR="00F06066" w:rsidRPr="00041C7A" w:rsidRDefault="00F06066" w:rsidP="00AB2342">
            <w:pPr>
              <w:spacing w:after="0" w:line="240" w:lineRule="auto"/>
              <w:jc w:val="right"/>
              <w:rPr>
                <w:rFonts w:ascii="Arial" w:eastAsia="Times New Roman" w:hAnsi="Arial" w:cs="Arial"/>
                <w:sz w:val="20"/>
                <w:szCs w:val="20"/>
                <w:lang w:eastAsia="en-CA"/>
              </w:rPr>
            </w:pPr>
            <w:r>
              <w:rPr>
                <w:rFonts w:ascii="Arial" w:eastAsia="Times New Roman" w:hAnsi="Arial" w:cs="Arial"/>
                <w:sz w:val="20"/>
                <w:szCs w:val="20"/>
                <w:lang w:eastAsia="en-CA"/>
              </w:rPr>
              <w:t>7</w:t>
            </w:r>
          </w:p>
        </w:tc>
        <w:tc>
          <w:tcPr>
            <w:tcW w:w="1335" w:type="dxa"/>
            <w:tcBorders>
              <w:top w:val="nil"/>
              <w:left w:val="nil"/>
              <w:bottom w:val="single" w:sz="4" w:space="0" w:color="auto"/>
              <w:right w:val="single" w:sz="4" w:space="0" w:color="auto"/>
            </w:tcBorders>
            <w:shd w:val="clear" w:color="auto" w:fill="auto"/>
            <w:noWrap/>
            <w:vAlign w:val="bottom"/>
            <w:hideMark/>
          </w:tcPr>
          <w:p w14:paraId="10B4F485" w14:textId="77777777" w:rsidR="00F06066" w:rsidRPr="00041C7A" w:rsidRDefault="00F06066" w:rsidP="00AB2342">
            <w:pPr>
              <w:spacing w:after="0" w:line="240" w:lineRule="auto"/>
              <w:jc w:val="right"/>
              <w:rPr>
                <w:rFonts w:ascii="Arial" w:eastAsia="Arial" w:hAnsi="Arial" w:cs="Arial"/>
                <w:sz w:val="20"/>
                <w:szCs w:val="20"/>
              </w:rPr>
            </w:pPr>
            <w:r w:rsidRPr="2106F2F5">
              <w:rPr>
                <w:rFonts w:ascii="Arial" w:eastAsia="Times New Roman" w:hAnsi="Arial" w:cs="Arial"/>
                <w:sz w:val="20"/>
                <w:szCs w:val="20"/>
                <w:lang w:eastAsia="en-CA"/>
              </w:rPr>
              <w:t>7</w:t>
            </w:r>
          </w:p>
        </w:tc>
      </w:tr>
      <w:tr w:rsidR="00F06066" w:rsidRPr="00041C7A" w14:paraId="37854FAB" w14:textId="77777777" w:rsidTr="001F06C3">
        <w:trPr>
          <w:trHeight w:val="234"/>
        </w:trPr>
        <w:tc>
          <w:tcPr>
            <w:tcW w:w="7544" w:type="dxa"/>
            <w:tcBorders>
              <w:top w:val="nil"/>
              <w:left w:val="single" w:sz="4" w:space="0" w:color="auto"/>
              <w:bottom w:val="single" w:sz="4" w:space="0" w:color="auto"/>
              <w:right w:val="single" w:sz="4" w:space="0" w:color="auto"/>
            </w:tcBorders>
            <w:shd w:val="clear" w:color="auto" w:fill="auto"/>
            <w:noWrap/>
            <w:vAlign w:val="bottom"/>
            <w:hideMark/>
          </w:tcPr>
          <w:p w14:paraId="0FB05398" w14:textId="77777777" w:rsidR="00F06066" w:rsidRPr="00041C7A" w:rsidRDefault="00F06066" w:rsidP="00AB2342">
            <w:pPr>
              <w:spacing w:after="0" w:line="240" w:lineRule="auto"/>
              <w:rPr>
                <w:rFonts w:ascii="Arial" w:eastAsia="Times New Roman" w:hAnsi="Arial" w:cs="Arial"/>
                <w:sz w:val="20"/>
                <w:szCs w:val="20"/>
                <w:lang w:eastAsia="en-CA"/>
              </w:rPr>
            </w:pPr>
            <w:r w:rsidRPr="00041C7A">
              <w:rPr>
                <w:rFonts w:ascii="Arial" w:eastAsia="Times New Roman" w:hAnsi="Arial" w:cs="Arial"/>
                <w:sz w:val="20"/>
                <w:szCs w:val="20"/>
                <w:lang w:eastAsia="en-CA"/>
              </w:rPr>
              <w:lastRenderedPageBreak/>
              <w:t xml:space="preserve">Total # of occurrences deemed exempt per </w:t>
            </w:r>
            <w:proofErr w:type="spellStart"/>
            <w:proofErr w:type="gramStart"/>
            <w:r w:rsidRPr="00041C7A">
              <w:rPr>
                <w:rFonts w:ascii="Arial" w:eastAsia="Times New Roman" w:hAnsi="Arial" w:cs="Arial"/>
                <w:sz w:val="20"/>
                <w:szCs w:val="20"/>
                <w:lang w:eastAsia="en-CA"/>
              </w:rPr>
              <w:t>O.Reg</w:t>
            </w:r>
            <w:proofErr w:type="spellEnd"/>
            <w:proofErr w:type="gramEnd"/>
            <w:r w:rsidRPr="00041C7A">
              <w:rPr>
                <w:rFonts w:ascii="Arial" w:eastAsia="Times New Roman" w:hAnsi="Arial" w:cs="Arial"/>
                <w:sz w:val="20"/>
                <w:szCs w:val="20"/>
                <w:lang w:eastAsia="en-CA"/>
              </w:rPr>
              <w:t xml:space="preserve"> 828/90</w:t>
            </w:r>
          </w:p>
        </w:tc>
        <w:tc>
          <w:tcPr>
            <w:tcW w:w="1196" w:type="dxa"/>
            <w:tcBorders>
              <w:top w:val="nil"/>
              <w:left w:val="nil"/>
              <w:bottom w:val="single" w:sz="4" w:space="0" w:color="auto"/>
              <w:right w:val="single" w:sz="4" w:space="0" w:color="auto"/>
            </w:tcBorders>
            <w:shd w:val="clear" w:color="auto" w:fill="auto"/>
            <w:noWrap/>
            <w:vAlign w:val="bottom"/>
            <w:hideMark/>
          </w:tcPr>
          <w:p w14:paraId="7A83ACA1" w14:textId="77777777" w:rsidR="00F06066" w:rsidRPr="00041C7A" w:rsidRDefault="00F06066" w:rsidP="00AB2342">
            <w:pPr>
              <w:spacing w:after="0" w:line="240" w:lineRule="auto"/>
              <w:jc w:val="right"/>
              <w:rPr>
                <w:rFonts w:ascii="Arial" w:eastAsia="Times New Roman" w:hAnsi="Arial" w:cs="Arial"/>
                <w:sz w:val="20"/>
                <w:szCs w:val="20"/>
                <w:lang w:eastAsia="en-CA"/>
              </w:rPr>
            </w:pPr>
            <w:r>
              <w:rPr>
                <w:rFonts w:ascii="Arial" w:eastAsia="Times New Roman" w:hAnsi="Arial" w:cs="Arial"/>
                <w:sz w:val="20"/>
                <w:szCs w:val="20"/>
                <w:lang w:eastAsia="en-CA"/>
              </w:rPr>
              <w:t>13</w:t>
            </w:r>
          </w:p>
        </w:tc>
        <w:tc>
          <w:tcPr>
            <w:tcW w:w="1335" w:type="dxa"/>
            <w:tcBorders>
              <w:top w:val="nil"/>
              <w:left w:val="nil"/>
              <w:bottom w:val="single" w:sz="4" w:space="0" w:color="auto"/>
              <w:right w:val="single" w:sz="4" w:space="0" w:color="auto"/>
            </w:tcBorders>
            <w:shd w:val="clear" w:color="auto" w:fill="auto"/>
            <w:noWrap/>
            <w:vAlign w:val="bottom"/>
            <w:hideMark/>
          </w:tcPr>
          <w:p w14:paraId="2882A875" w14:textId="77777777" w:rsidR="00F06066" w:rsidRPr="00041C7A" w:rsidRDefault="00F06066" w:rsidP="00AB2342">
            <w:pPr>
              <w:spacing w:after="0" w:line="240" w:lineRule="auto"/>
              <w:jc w:val="right"/>
              <w:rPr>
                <w:rFonts w:ascii="Arial" w:eastAsia="Times New Roman" w:hAnsi="Arial" w:cs="Arial"/>
                <w:sz w:val="20"/>
                <w:szCs w:val="20"/>
                <w:lang w:eastAsia="en-CA"/>
              </w:rPr>
            </w:pPr>
            <w:r w:rsidRPr="2106F2F5">
              <w:rPr>
                <w:rFonts w:ascii="Arial" w:eastAsia="Times New Roman" w:hAnsi="Arial" w:cs="Arial"/>
                <w:sz w:val="20"/>
                <w:szCs w:val="20"/>
                <w:lang w:eastAsia="en-CA"/>
              </w:rPr>
              <w:t>13</w:t>
            </w:r>
          </w:p>
        </w:tc>
      </w:tr>
      <w:tr w:rsidR="004E5762" w:rsidRPr="00041C7A" w14:paraId="2578BF27" w14:textId="77777777" w:rsidTr="001F06C3">
        <w:trPr>
          <w:trHeight w:val="234"/>
        </w:trPr>
        <w:tc>
          <w:tcPr>
            <w:tcW w:w="7544" w:type="dxa"/>
            <w:tcBorders>
              <w:top w:val="nil"/>
              <w:left w:val="nil"/>
              <w:bottom w:val="nil"/>
              <w:right w:val="nil"/>
            </w:tcBorders>
            <w:shd w:val="clear" w:color="auto" w:fill="auto"/>
            <w:noWrap/>
            <w:vAlign w:val="bottom"/>
          </w:tcPr>
          <w:p w14:paraId="66B358DE" w14:textId="77777777" w:rsidR="004E5762" w:rsidRPr="00041C7A" w:rsidRDefault="004E5762" w:rsidP="004E5762">
            <w:pPr>
              <w:spacing w:after="0" w:line="240" w:lineRule="auto"/>
              <w:rPr>
                <w:rFonts w:ascii="Times New Roman" w:eastAsia="Times New Roman" w:hAnsi="Times New Roman" w:cs="Times New Roman"/>
                <w:sz w:val="20"/>
                <w:szCs w:val="20"/>
                <w:lang w:eastAsia="en-CA"/>
              </w:rPr>
            </w:pPr>
          </w:p>
        </w:tc>
        <w:tc>
          <w:tcPr>
            <w:tcW w:w="1196" w:type="dxa"/>
            <w:tcBorders>
              <w:top w:val="nil"/>
              <w:left w:val="nil"/>
              <w:bottom w:val="nil"/>
              <w:right w:val="nil"/>
            </w:tcBorders>
            <w:shd w:val="clear" w:color="auto" w:fill="auto"/>
            <w:noWrap/>
            <w:vAlign w:val="bottom"/>
          </w:tcPr>
          <w:p w14:paraId="096520AE" w14:textId="77777777" w:rsidR="004E5762" w:rsidRPr="00041C7A" w:rsidRDefault="004E5762" w:rsidP="004E5762">
            <w:pPr>
              <w:spacing w:after="0" w:line="240" w:lineRule="auto"/>
              <w:rPr>
                <w:rFonts w:ascii="Times New Roman" w:eastAsia="Times New Roman" w:hAnsi="Times New Roman" w:cs="Times New Roman"/>
                <w:sz w:val="20"/>
                <w:szCs w:val="20"/>
                <w:lang w:eastAsia="en-CA"/>
              </w:rPr>
            </w:pPr>
          </w:p>
        </w:tc>
        <w:tc>
          <w:tcPr>
            <w:tcW w:w="1335" w:type="dxa"/>
            <w:tcBorders>
              <w:top w:val="nil"/>
              <w:left w:val="nil"/>
              <w:bottom w:val="nil"/>
              <w:right w:val="nil"/>
            </w:tcBorders>
            <w:shd w:val="clear" w:color="auto" w:fill="auto"/>
            <w:noWrap/>
            <w:vAlign w:val="bottom"/>
          </w:tcPr>
          <w:p w14:paraId="07A3797F" w14:textId="77777777" w:rsidR="004E5762" w:rsidRPr="00041C7A" w:rsidRDefault="004E5762" w:rsidP="004E5762">
            <w:pPr>
              <w:spacing w:after="0" w:line="240" w:lineRule="auto"/>
              <w:rPr>
                <w:rFonts w:ascii="Times New Roman" w:eastAsia="Times New Roman" w:hAnsi="Times New Roman" w:cs="Times New Roman"/>
                <w:sz w:val="20"/>
                <w:szCs w:val="20"/>
                <w:lang w:eastAsia="en-CA"/>
              </w:rPr>
            </w:pPr>
          </w:p>
        </w:tc>
      </w:tr>
      <w:tr w:rsidR="004E5762" w:rsidRPr="00041C7A" w14:paraId="66EEDF75" w14:textId="77777777" w:rsidTr="001F06C3">
        <w:trPr>
          <w:trHeight w:val="234"/>
        </w:trPr>
        <w:tc>
          <w:tcPr>
            <w:tcW w:w="7544" w:type="dxa"/>
            <w:tcBorders>
              <w:top w:val="nil"/>
              <w:left w:val="nil"/>
              <w:bottom w:val="nil"/>
              <w:right w:val="nil"/>
            </w:tcBorders>
            <w:shd w:val="clear" w:color="auto" w:fill="auto"/>
            <w:noWrap/>
            <w:vAlign w:val="bottom"/>
          </w:tcPr>
          <w:p w14:paraId="2449EF9F" w14:textId="77777777" w:rsidR="004E5762" w:rsidRPr="00041C7A" w:rsidRDefault="004E5762" w:rsidP="004E5762">
            <w:pPr>
              <w:spacing w:after="0" w:line="240" w:lineRule="auto"/>
              <w:rPr>
                <w:rFonts w:ascii="Times New Roman" w:eastAsia="Times New Roman" w:hAnsi="Times New Roman" w:cs="Times New Roman"/>
                <w:sz w:val="20"/>
                <w:szCs w:val="20"/>
                <w:lang w:eastAsia="en-CA"/>
              </w:rPr>
            </w:pPr>
          </w:p>
        </w:tc>
        <w:tc>
          <w:tcPr>
            <w:tcW w:w="1196" w:type="dxa"/>
            <w:tcBorders>
              <w:top w:val="nil"/>
              <w:left w:val="nil"/>
              <w:bottom w:val="nil"/>
              <w:right w:val="nil"/>
            </w:tcBorders>
            <w:shd w:val="clear" w:color="auto" w:fill="auto"/>
            <w:noWrap/>
            <w:vAlign w:val="bottom"/>
          </w:tcPr>
          <w:p w14:paraId="437A5FEF" w14:textId="77777777" w:rsidR="004E5762" w:rsidRPr="00041C7A" w:rsidRDefault="004E5762" w:rsidP="004E5762">
            <w:pPr>
              <w:spacing w:after="0" w:line="240" w:lineRule="auto"/>
              <w:rPr>
                <w:rFonts w:ascii="Times New Roman" w:eastAsia="Times New Roman" w:hAnsi="Times New Roman" w:cs="Times New Roman"/>
                <w:sz w:val="20"/>
                <w:szCs w:val="20"/>
                <w:lang w:eastAsia="en-CA"/>
              </w:rPr>
            </w:pPr>
          </w:p>
        </w:tc>
        <w:tc>
          <w:tcPr>
            <w:tcW w:w="1335" w:type="dxa"/>
            <w:tcBorders>
              <w:top w:val="nil"/>
              <w:left w:val="nil"/>
              <w:bottom w:val="nil"/>
              <w:right w:val="nil"/>
            </w:tcBorders>
            <w:shd w:val="clear" w:color="auto" w:fill="auto"/>
            <w:noWrap/>
            <w:vAlign w:val="bottom"/>
          </w:tcPr>
          <w:p w14:paraId="48BF1E01" w14:textId="77777777" w:rsidR="004E5762" w:rsidRPr="00041C7A" w:rsidRDefault="004E5762" w:rsidP="004E5762">
            <w:pPr>
              <w:spacing w:after="0" w:line="240" w:lineRule="auto"/>
              <w:rPr>
                <w:rFonts w:ascii="Times New Roman" w:eastAsia="Times New Roman" w:hAnsi="Times New Roman" w:cs="Times New Roman"/>
                <w:sz w:val="20"/>
                <w:szCs w:val="20"/>
                <w:lang w:eastAsia="en-CA"/>
              </w:rPr>
            </w:pPr>
          </w:p>
        </w:tc>
      </w:tr>
      <w:tr w:rsidR="004E5762" w:rsidRPr="00041C7A" w14:paraId="33F453D0" w14:textId="77777777" w:rsidTr="001F06C3">
        <w:trPr>
          <w:trHeight w:val="413"/>
        </w:trPr>
        <w:tc>
          <w:tcPr>
            <w:tcW w:w="7544" w:type="dxa"/>
            <w:tcBorders>
              <w:top w:val="single" w:sz="4" w:space="0" w:color="auto"/>
              <w:left w:val="single" w:sz="4" w:space="0" w:color="auto"/>
              <w:bottom w:val="single" w:sz="4" w:space="0" w:color="auto"/>
              <w:right w:val="single" w:sz="4" w:space="0" w:color="auto"/>
            </w:tcBorders>
            <w:shd w:val="clear" w:color="auto" w:fill="000000" w:themeFill="text2"/>
            <w:noWrap/>
            <w:vAlign w:val="center"/>
            <w:hideMark/>
          </w:tcPr>
          <w:p w14:paraId="74FF7633" w14:textId="77777777" w:rsidR="004E5762" w:rsidRPr="00041C7A" w:rsidRDefault="004E5762" w:rsidP="004E5762">
            <w:pPr>
              <w:spacing w:after="0" w:line="240" w:lineRule="auto"/>
              <w:rPr>
                <w:rFonts w:ascii="Arial" w:eastAsia="Times New Roman" w:hAnsi="Arial" w:cs="Arial"/>
                <w:b/>
                <w:bCs/>
                <w:color w:val="FFFFFF"/>
                <w:sz w:val="20"/>
                <w:szCs w:val="20"/>
                <w:lang w:eastAsia="en-CA"/>
              </w:rPr>
            </w:pPr>
            <w:r w:rsidRPr="00041C7A">
              <w:rPr>
                <w:rFonts w:ascii="Arial" w:eastAsia="Times New Roman" w:hAnsi="Arial" w:cs="Arial"/>
                <w:b/>
                <w:bCs/>
                <w:color w:val="FFFFFF"/>
                <w:sz w:val="20"/>
                <w:szCs w:val="20"/>
                <w:lang w:eastAsia="en-CA"/>
              </w:rPr>
              <w:t>Proactive: Development Permit Compliance Monitoring</w:t>
            </w:r>
          </w:p>
        </w:tc>
        <w:tc>
          <w:tcPr>
            <w:tcW w:w="1196" w:type="dxa"/>
            <w:tcBorders>
              <w:top w:val="single" w:sz="4" w:space="0" w:color="auto"/>
              <w:left w:val="nil"/>
              <w:bottom w:val="single" w:sz="4" w:space="0" w:color="auto"/>
              <w:right w:val="single" w:sz="4" w:space="0" w:color="auto"/>
            </w:tcBorders>
            <w:shd w:val="clear" w:color="auto" w:fill="000000" w:themeFill="text2"/>
            <w:noWrap/>
            <w:vAlign w:val="center"/>
            <w:hideMark/>
          </w:tcPr>
          <w:p w14:paraId="0766758C" w14:textId="77777777" w:rsidR="004E5762" w:rsidRPr="00041C7A" w:rsidRDefault="004E5762" w:rsidP="004E5762">
            <w:pPr>
              <w:spacing w:after="0" w:line="240" w:lineRule="auto"/>
              <w:jc w:val="center"/>
              <w:rPr>
                <w:rFonts w:ascii="Arial" w:eastAsia="Times New Roman" w:hAnsi="Arial" w:cs="Arial"/>
                <w:b/>
                <w:bCs/>
                <w:color w:val="FFFFFF"/>
                <w:sz w:val="20"/>
                <w:szCs w:val="20"/>
                <w:lang w:eastAsia="en-CA"/>
              </w:rPr>
            </w:pPr>
            <w:r w:rsidRPr="00041C7A">
              <w:rPr>
                <w:rFonts w:ascii="Arial" w:eastAsia="Times New Roman" w:hAnsi="Arial" w:cs="Arial"/>
                <w:b/>
                <w:bCs/>
                <w:color w:val="FFFFFF"/>
                <w:sz w:val="20"/>
                <w:szCs w:val="20"/>
                <w:lang w:eastAsia="en-CA"/>
              </w:rPr>
              <w:t>201</w:t>
            </w:r>
            <w:r>
              <w:rPr>
                <w:rFonts w:ascii="Arial" w:eastAsia="Times New Roman" w:hAnsi="Arial" w:cs="Arial"/>
                <w:b/>
                <w:bCs/>
                <w:color w:val="FFFFFF"/>
                <w:sz w:val="20"/>
                <w:szCs w:val="20"/>
                <w:lang w:eastAsia="en-CA"/>
              </w:rPr>
              <w:t>9</w:t>
            </w:r>
            <w:r w:rsidRPr="00041C7A">
              <w:rPr>
                <w:rFonts w:ascii="Arial" w:eastAsia="Times New Roman" w:hAnsi="Arial" w:cs="Arial"/>
                <w:b/>
                <w:bCs/>
                <w:color w:val="FFFFFF"/>
                <w:sz w:val="20"/>
                <w:szCs w:val="20"/>
                <w:lang w:eastAsia="en-CA"/>
              </w:rPr>
              <w:t>-</w:t>
            </w:r>
            <w:r>
              <w:rPr>
                <w:rFonts w:ascii="Arial" w:eastAsia="Times New Roman" w:hAnsi="Arial" w:cs="Arial"/>
                <w:b/>
                <w:bCs/>
                <w:color w:val="FFFFFF"/>
                <w:sz w:val="20"/>
                <w:szCs w:val="20"/>
                <w:lang w:eastAsia="en-CA"/>
              </w:rPr>
              <w:t>20</w:t>
            </w:r>
          </w:p>
        </w:tc>
        <w:tc>
          <w:tcPr>
            <w:tcW w:w="1335" w:type="dxa"/>
            <w:tcBorders>
              <w:top w:val="single" w:sz="4" w:space="0" w:color="auto"/>
              <w:left w:val="nil"/>
              <w:bottom w:val="single" w:sz="4" w:space="0" w:color="auto"/>
              <w:right w:val="single" w:sz="4" w:space="0" w:color="auto"/>
            </w:tcBorders>
            <w:shd w:val="clear" w:color="auto" w:fill="000000" w:themeFill="text2"/>
            <w:noWrap/>
            <w:vAlign w:val="center"/>
            <w:hideMark/>
          </w:tcPr>
          <w:p w14:paraId="00B82872" w14:textId="77777777" w:rsidR="004E5762" w:rsidRPr="00041C7A" w:rsidRDefault="004E5762" w:rsidP="004E5762">
            <w:pPr>
              <w:spacing w:after="0" w:line="240" w:lineRule="auto"/>
              <w:jc w:val="center"/>
              <w:rPr>
                <w:rFonts w:ascii="Arial" w:eastAsia="Times New Roman" w:hAnsi="Arial" w:cs="Arial"/>
                <w:b/>
                <w:bCs/>
                <w:color w:val="FFFFFF"/>
                <w:sz w:val="20"/>
                <w:szCs w:val="20"/>
                <w:lang w:eastAsia="en-CA"/>
              </w:rPr>
            </w:pPr>
            <w:r w:rsidRPr="00041C7A">
              <w:rPr>
                <w:rFonts w:ascii="Arial" w:eastAsia="Times New Roman" w:hAnsi="Arial" w:cs="Arial"/>
                <w:b/>
                <w:bCs/>
                <w:color w:val="FFFFFF"/>
                <w:sz w:val="20"/>
                <w:szCs w:val="20"/>
                <w:lang w:eastAsia="en-CA"/>
              </w:rPr>
              <w:t>20</w:t>
            </w:r>
            <w:r>
              <w:rPr>
                <w:rFonts w:ascii="Arial" w:eastAsia="Times New Roman" w:hAnsi="Arial" w:cs="Arial"/>
                <w:b/>
                <w:bCs/>
                <w:color w:val="FFFFFF"/>
                <w:sz w:val="20"/>
                <w:szCs w:val="20"/>
                <w:lang w:eastAsia="en-CA"/>
              </w:rPr>
              <w:t>20</w:t>
            </w:r>
            <w:r w:rsidRPr="00041C7A">
              <w:rPr>
                <w:rFonts w:ascii="Arial" w:eastAsia="Times New Roman" w:hAnsi="Arial" w:cs="Arial"/>
                <w:b/>
                <w:bCs/>
                <w:color w:val="FFFFFF"/>
                <w:sz w:val="20"/>
                <w:szCs w:val="20"/>
                <w:lang w:eastAsia="en-CA"/>
              </w:rPr>
              <w:t>-</w:t>
            </w:r>
            <w:r>
              <w:rPr>
                <w:rFonts w:ascii="Arial" w:eastAsia="Times New Roman" w:hAnsi="Arial" w:cs="Arial"/>
                <w:b/>
                <w:bCs/>
                <w:color w:val="FFFFFF"/>
                <w:sz w:val="20"/>
                <w:szCs w:val="20"/>
                <w:lang w:eastAsia="en-CA"/>
              </w:rPr>
              <w:t>21</w:t>
            </w:r>
          </w:p>
        </w:tc>
      </w:tr>
      <w:tr w:rsidR="004E5762" w:rsidRPr="00AA5890" w14:paraId="4B9D5B9D" w14:textId="77777777" w:rsidTr="001F06C3">
        <w:trPr>
          <w:trHeight w:val="234"/>
        </w:trPr>
        <w:tc>
          <w:tcPr>
            <w:tcW w:w="7544" w:type="dxa"/>
            <w:tcBorders>
              <w:top w:val="nil"/>
              <w:left w:val="single" w:sz="4" w:space="0" w:color="auto"/>
              <w:bottom w:val="single" w:sz="4" w:space="0" w:color="auto"/>
              <w:right w:val="single" w:sz="4" w:space="0" w:color="auto"/>
            </w:tcBorders>
            <w:shd w:val="clear" w:color="auto" w:fill="auto"/>
            <w:noWrap/>
            <w:vAlign w:val="bottom"/>
            <w:hideMark/>
          </w:tcPr>
          <w:p w14:paraId="3F402775" w14:textId="77777777" w:rsidR="004E5762" w:rsidRPr="007435A0" w:rsidRDefault="004E5762" w:rsidP="004E5762">
            <w:pPr>
              <w:spacing w:after="0" w:line="240" w:lineRule="auto"/>
              <w:rPr>
                <w:rFonts w:ascii="Arial" w:eastAsia="Times New Roman" w:hAnsi="Arial" w:cs="Arial"/>
                <w:sz w:val="20"/>
                <w:szCs w:val="20"/>
                <w:lang w:eastAsia="en-CA"/>
              </w:rPr>
            </w:pPr>
            <w:r w:rsidRPr="00AA5890">
              <w:rPr>
                <w:rFonts w:ascii="Arial" w:eastAsia="Times New Roman" w:hAnsi="Arial" w:cs="Arial"/>
                <w:sz w:val="20"/>
                <w:szCs w:val="20"/>
                <w:lang w:eastAsia="en-CA"/>
              </w:rPr>
              <w:t>Inspections to assess adherence with development permits issued (</w:t>
            </w:r>
            <w:r w:rsidRPr="008A3DCC">
              <w:rPr>
                <w:rFonts w:ascii="Arial" w:eastAsia="Times New Roman" w:hAnsi="Arial" w:cs="Arial"/>
                <w:sz w:val="20"/>
                <w:szCs w:val="20"/>
                <w:lang w:eastAsia="en-CA"/>
              </w:rPr>
              <w:t>p</w:t>
            </w:r>
            <w:r w:rsidRPr="002C1C99">
              <w:rPr>
                <w:rFonts w:ascii="Arial" w:eastAsia="Times New Roman" w:hAnsi="Arial" w:cs="Arial"/>
                <w:sz w:val="20"/>
                <w:szCs w:val="20"/>
                <w:lang w:eastAsia="en-CA"/>
              </w:rPr>
              <w:t>er risk-based assessment process)</w:t>
            </w:r>
          </w:p>
        </w:tc>
        <w:tc>
          <w:tcPr>
            <w:tcW w:w="1196" w:type="dxa"/>
            <w:tcBorders>
              <w:top w:val="nil"/>
              <w:left w:val="nil"/>
              <w:bottom w:val="single" w:sz="4" w:space="0" w:color="auto"/>
              <w:right w:val="single" w:sz="4" w:space="0" w:color="auto"/>
            </w:tcBorders>
            <w:shd w:val="clear" w:color="auto" w:fill="auto"/>
            <w:noWrap/>
            <w:vAlign w:val="bottom"/>
            <w:hideMark/>
          </w:tcPr>
          <w:p w14:paraId="1B369121" w14:textId="77777777" w:rsidR="004E5762" w:rsidRPr="00D37696" w:rsidRDefault="004E5762" w:rsidP="004E5762">
            <w:pPr>
              <w:spacing w:after="0" w:line="240" w:lineRule="auto"/>
              <w:jc w:val="right"/>
              <w:rPr>
                <w:rFonts w:ascii="Arial" w:eastAsia="Times New Roman" w:hAnsi="Arial" w:cs="Arial"/>
                <w:sz w:val="20"/>
                <w:szCs w:val="20"/>
                <w:lang w:eastAsia="en-CA"/>
              </w:rPr>
            </w:pPr>
            <w:r w:rsidRPr="00244F2C">
              <w:rPr>
                <w:rFonts w:ascii="Arial" w:eastAsia="Times New Roman" w:hAnsi="Arial" w:cs="Arial"/>
                <w:sz w:val="20"/>
                <w:szCs w:val="20"/>
                <w:lang w:eastAsia="en-CA"/>
              </w:rPr>
              <w:t>2</w:t>
            </w:r>
            <w:r w:rsidRPr="00D37696">
              <w:rPr>
                <w:rFonts w:ascii="Arial" w:eastAsia="Times New Roman" w:hAnsi="Arial" w:cs="Arial"/>
                <w:sz w:val="20"/>
                <w:szCs w:val="20"/>
                <w:lang w:eastAsia="en-CA"/>
              </w:rPr>
              <w:t>2</w:t>
            </w:r>
          </w:p>
        </w:tc>
        <w:tc>
          <w:tcPr>
            <w:tcW w:w="1335" w:type="dxa"/>
            <w:vMerge w:val="restart"/>
            <w:tcBorders>
              <w:top w:val="nil"/>
              <w:left w:val="nil"/>
              <w:right w:val="single" w:sz="4" w:space="0" w:color="auto"/>
            </w:tcBorders>
            <w:shd w:val="clear" w:color="auto" w:fill="auto"/>
            <w:noWrap/>
            <w:vAlign w:val="bottom"/>
            <w:hideMark/>
          </w:tcPr>
          <w:p w14:paraId="176A6413" w14:textId="77777777" w:rsidR="004E5762" w:rsidRPr="00932719" w:rsidRDefault="004E5762" w:rsidP="004E5762">
            <w:pPr>
              <w:spacing w:after="0" w:line="240" w:lineRule="auto"/>
              <w:jc w:val="right"/>
              <w:rPr>
                <w:rFonts w:ascii="Arial" w:eastAsia="Times New Roman" w:hAnsi="Arial" w:cs="Arial"/>
                <w:i/>
                <w:iCs/>
                <w:sz w:val="18"/>
                <w:szCs w:val="18"/>
                <w:lang w:eastAsia="en-CA"/>
              </w:rPr>
            </w:pPr>
            <w:r w:rsidRPr="00932719">
              <w:rPr>
                <w:rFonts w:ascii="Arial" w:eastAsia="Times New Roman" w:hAnsi="Arial" w:cs="Arial"/>
                <w:i/>
                <w:iCs/>
                <w:sz w:val="18"/>
                <w:szCs w:val="18"/>
                <w:lang w:eastAsia="en-CA"/>
              </w:rPr>
              <w:t xml:space="preserve">Compliance </w:t>
            </w:r>
          </w:p>
          <w:p w14:paraId="678DF282" w14:textId="77777777" w:rsidR="004E5762" w:rsidRPr="00AA5890" w:rsidRDefault="004E5762" w:rsidP="004E5762">
            <w:pPr>
              <w:spacing w:after="0" w:line="240" w:lineRule="auto"/>
              <w:jc w:val="right"/>
              <w:rPr>
                <w:rFonts w:ascii="Arial" w:eastAsia="Times New Roman" w:hAnsi="Arial" w:cs="Arial"/>
                <w:sz w:val="20"/>
                <w:szCs w:val="20"/>
                <w:lang w:eastAsia="en-CA"/>
              </w:rPr>
            </w:pPr>
            <w:r w:rsidRPr="00932719">
              <w:rPr>
                <w:rFonts w:ascii="Arial" w:eastAsia="Times New Roman" w:hAnsi="Arial" w:cs="Arial"/>
                <w:i/>
                <w:iCs/>
                <w:sz w:val="18"/>
                <w:szCs w:val="18"/>
                <w:lang w:eastAsia="en-CA"/>
              </w:rPr>
              <w:t>Inspections suspended due to COVID-19</w:t>
            </w:r>
          </w:p>
        </w:tc>
      </w:tr>
      <w:tr w:rsidR="004E5762" w:rsidRPr="00AA5890" w14:paraId="001AE9E9" w14:textId="77777777" w:rsidTr="001F06C3">
        <w:trPr>
          <w:trHeight w:val="234"/>
        </w:trPr>
        <w:tc>
          <w:tcPr>
            <w:tcW w:w="7544" w:type="dxa"/>
            <w:tcBorders>
              <w:top w:val="nil"/>
              <w:left w:val="single" w:sz="4" w:space="0" w:color="auto"/>
              <w:bottom w:val="single" w:sz="4" w:space="0" w:color="auto"/>
              <w:right w:val="single" w:sz="4" w:space="0" w:color="auto"/>
            </w:tcBorders>
            <w:shd w:val="clear" w:color="auto" w:fill="auto"/>
            <w:noWrap/>
            <w:vAlign w:val="bottom"/>
            <w:hideMark/>
          </w:tcPr>
          <w:p w14:paraId="6ED06F92" w14:textId="77777777" w:rsidR="004E5762" w:rsidRPr="00AA5890" w:rsidRDefault="004E5762" w:rsidP="004E5762">
            <w:pPr>
              <w:spacing w:after="0" w:line="240" w:lineRule="auto"/>
              <w:rPr>
                <w:rFonts w:ascii="Arial" w:eastAsia="Times New Roman" w:hAnsi="Arial" w:cs="Arial"/>
                <w:sz w:val="20"/>
                <w:szCs w:val="20"/>
                <w:lang w:eastAsia="en-CA"/>
              </w:rPr>
            </w:pPr>
            <w:r w:rsidRPr="00AA5890">
              <w:rPr>
                <w:rFonts w:ascii="Arial" w:eastAsia="Times New Roman" w:hAnsi="Arial" w:cs="Arial"/>
                <w:sz w:val="20"/>
                <w:szCs w:val="20"/>
                <w:lang w:eastAsia="en-CA"/>
              </w:rPr>
              <w:t># of Development Permits in total compliance</w:t>
            </w:r>
          </w:p>
        </w:tc>
        <w:tc>
          <w:tcPr>
            <w:tcW w:w="1196" w:type="dxa"/>
            <w:tcBorders>
              <w:top w:val="nil"/>
              <w:left w:val="nil"/>
              <w:bottom w:val="single" w:sz="4" w:space="0" w:color="auto"/>
              <w:right w:val="single" w:sz="4" w:space="0" w:color="auto"/>
            </w:tcBorders>
            <w:shd w:val="clear" w:color="auto" w:fill="auto"/>
            <w:noWrap/>
            <w:vAlign w:val="bottom"/>
            <w:hideMark/>
          </w:tcPr>
          <w:p w14:paraId="4D553690" w14:textId="77777777" w:rsidR="004E5762" w:rsidRPr="00AA5890" w:rsidRDefault="004E5762" w:rsidP="004E5762">
            <w:pPr>
              <w:spacing w:after="0" w:line="240" w:lineRule="auto"/>
              <w:jc w:val="right"/>
              <w:rPr>
                <w:rFonts w:ascii="Arial" w:eastAsia="Times New Roman" w:hAnsi="Arial" w:cs="Arial"/>
                <w:sz w:val="20"/>
                <w:szCs w:val="20"/>
                <w:lang w:eastAsia="en-CA"/>
              </w:rPr>
            </w:pPr>
            <w:r w:rsidRPr="00AA5890">
              <w:rPr>
                <w:rFonts w:ascii="Arial" w:eastAsia="Times New Roman" w:hAnsi="Arial" w:cs="Arial"/>
                <w:sz w:val="20"/>
                <w:szCs w:val="20"/>
                <w:lang w:eastAsia="en-CA"/>
              </w:rPr>
              <w:t>15</w:t>
            </w:r>
          </w:p>
        </w:tc>
        <w:tc>
          <w:tcPr>
            <w:tcW w:w="1335" w:type="dxa"/>
            <w:vMerge/>
            <w:tcBorders>
              <w:left w:val="nil"/>
              <w:right w:val="single" w:sz="4" w:space="0" w:color="auto"/>
            </w:tcBorders>
            <w:shd w:val="clear" w:color="auto" w:fill="auto"/>
            <w:noWrap/>
            <w:vAlign w:val="bottom"/>
            <w:hideMark/>
          </w:tcPr>
          <w:p w14:paraId="591B1C56" w14:textId="77777777" w:rsidR="004E5762" w:rsidRPr="00AA5890" w:rsidRDefault="004E5762" w:rsidP="004E5762">
            <w:pPr>
              <w:spacing w:after="0" w:line="240" w:lineRule="auto"/>
              <w:jc w:val="right"/>
              <w:rPr>
                <w:rFonts w:ascii="Arial" w:eastAsia="Times New Roman" w:hAnsi="Arial" w:cs="Arial"/>
                <w:sz w:val="20"/>
                <w:szCs w:val="20"/>
                <w:lang w:eastAsia="en-CA"/>
              </w:rPr>
            </w:pPr>
          </w:p>
        </w:tc>
      </w:tr>
      <w:tr w:rsidR="004E5762" w:rsidRPr="00041C7A" w14:paraId="7A453411" w14:textId="77777777" w:rsidTr="001F06C3">
        <w:trPr>
          <w:trHeight w:val="234"/>
        </w:trPr>
        <w:tc>
          <w:tcPr>
            <w:tcW w:w="7544" w:type="dxa"/>
            <w:tcBorders>
              <w:top w:val="nil"/>
              <w:left w:val="single" w:sz="4" w:space="0" w:color="auto"/>
              <w:bottom w:val="single" w:sz="4" w:space="0" w:color="auto"/>
              <w:right w:val="single" w:sz="4" w:space="0" w:color="auto"/>
            </w:tcBorders>
            <w:shd w:val="clear" w:color="auto" w:fill="auto"/>
            <w:noWrap/>
            <w:vAlign w:val="bottom"/>
            <w:hideMark/>
          </w:tcPr>
          <w:p w14:paraId="238C3AE1" w14:textId="77777777" w:rsidR="004E5762" w:rsidRPr="00AA5890" w:rsidRDefault="004E5762" w:rsidP="004E5762">
            <w:pPr>
              <w:spacing w:after="0" w:line="240" w:lineRule="auto"/>
              <w:rPr>
                <w:rFonts w:ascii="Arial" w:eastAsia="Times New Roman" w:hAnsi="Arial" w:cs="Arial"/>
                <w:sz w:val="20"/>
                <w:szCs w:val="20"/>
                <w:lang w:eastAsia="en-CA"/>
              </w:rPr>
            </w:pPr>
            <w:r w:rsidRPr="00AA5890">
              <w:rPr>
                <w:rFonts w:ascii="Arial" w:eastAsia="Times New Roman" w:hAnsi="Arial" w:cs="Arial"/>
                <w:sz w:val="20"/>
                <w:szCs w:val="20"/>
                <w:lang w:eastAsia="en-CA"/>
              </w:rPr>
              <w:t># of Development Permits non-compliant</w:t>
            </w:r>
          </w:p>
        </w:tc>
        <w:tc>
          <w:tcPr>
            <w:tcW w:w="1196" w:type="dxa"/>
            <w:tcBorders>
              <w:top w:val="nil"/>
              <w:left w:val="nil"/>
              <w:bottom w:val="single" w:sz="4" w:space="0" w:color="auto"/>
              <w:right w:val="single" w:sz="4" w:space="0" w:color="auto"/>
            </w:tcBorders>
            <w:shd w:val="clear" w:color="auto" w:fill="auto"/>
            <w:noWrap/>
            <w:vAlign w:val="bottom"/>
            <w:hideMark/>
          </w:tcPr>
          <w:p w14:paraId="55BB9C29" w14:textId="77777777" w:rsidR="004E5762" w:rsidRPr="00041C7A" w:rsidRDefault="004E5762" w:rsidP="004E5762">
            <w:pPr>
              <w:spacing w:after="0" w:line="240" w:lineRule="auto"/>
              <w:jc w:val="right"/>
              <w:rPr>
                <w:rFonts w:ascii="Arial" w:eastAsia="Times New Roman" w:hAnsi="Arial" w:cs="Arial"/>
                <w:sz w:val="20"/>
                <w:szCs w:val="20"/>
                <w:lang w:eastAsia="en-CA"/>
              </w:rPr>
            </w:pPr>
            <w:r w:rsidRPr="00AA5890">
              <w:rPr>
                <w:rFonts w:ascii="Arial" w:eastAsia="Times New Roman" w:hAnsi="Arial" w:cs="Arial"/>
                <w:sz w:val="20"/>
                <w:szCs w:val="20"/>
                <w:lang w:eastAsia="en-CA"/>
              </w:rPr>
              <w:t>7</w:t>
            </w:r>
          </w:p>
        </w:tc>
        <w:tc>
          <w:tcPr>
            <w:tcW w:w="1335" w:type="dxa"/>
            <w:vMerge/>
            <w:tcBorders>
              <w:left w:val="nil"/>
              <w:bottom w:val="single" w:sz="4" w:space="0" w:color="auto"/>
              <w:right w:val="single" w:sz="4" w:space="0" w:color="auto"/>
            </w:tcBorders>
            <w:shd w:val="clear" w:color="auto" w:fill="auto"/>
            <w:noWrap/>
            <w:vAlign w:val="bottom"/>
            <w:hideMark/>
          </w:tcPr>
          <w:p w14:paraId="1962B1A1" w14:textId="77777777" w:rsidR="004E5762" w:rsidRPr="00041C7A" w:rsidRDefault="004E5762" w:rsidP="004E5762">
            <w:pPr>
              <w:spacing w:after="0" w:line="240" w:lineRule="auto"/>
              <w:jc w:val="right"/>
              <w:rPr>
                <w:rFonts w:ascii="Arial" w:eastAsia="Times New Roman" w:hAnsi="Arial" w:cs="Arial"/>
                <w:sz w:val="20"/>
                <w:szCs w:val="20"/>
                <w:lang w:eastAsia="en-CA"/>
              </w:rPr>
            </w:pPr>
          </w:p>
        </w:tc>
      </w:tr>
    </w:tbl>
    <w:p w14:paraId="4BEB746C" w14:textId="77777777" w:rsidR="00F06066" w:rsidRPr="006414A3" w:rsidRDefault="00F06066" w:rsidP="00F06066"/>
    <w:p w14:paraId="22DE4401" w14:textId="79820302" w:rsidR="00F06066" w:rsidRDefault="00F06066" w:rsidP="0003039F">
      <w:pPr>
        <w:pStyle w:val="NoSpacing"/>
        <w:spacing w:line="276" w:lineRule="auto"/>
        <w:jc w:val="both"/>
      </w:pPr>
      <w:r w:rsidRPr="00801222">
        <w:t>The number of compliance occurrences received in 2020-21 was the most the NEC has recorded since it began tracking this data. This</w:t>
      </w:r>
      <w:r>
        <w:t xml:space="preserve"> may be due to a couple of factors:  more people staying at home and undertaking work, and more people reporting concerns of development without a permit.</w:t>
      </w:r>
      <w:r w:rsidR="00F32178">
        <w:t xml:space="preserve">  </w:t>
      </w:r>
      <w:r w:rsidR="00F32178" w:rsidRPr="00F32178">
        <w:t>From 2019-2020 fiscal to 2020-2021 fiscal the number of fill complaints received doubled, being the most common type of complaint th</w:t>
      </w:r>
      <w:r w:rsidR="00432437">
        <w:t>is</w:t>
      </w:r>
      <w:r w:rsidR="00F32178" w:rsidRPr="00F32178">
        <w:t xml:space="preserve"> year, closely followed by tree cutting, and the highest number of complaints on record regarding new accessory structures.</w:t>
      </w:r>
    </w:p>
    <w:p w14:paraId="43E39C00" w14:textId="77777777" w:rsidR="00F06066" w:rsidRDefault="00F06066" w:rsidP="0003039F">
      <w:pPr>
        <w:pStyle w:val="NoSpacing"/>
        <w:spacing w:line="276" w:lineRule="auto"/>
        <w:jc w:val="both"/>
      </w:pPr>
    </w:p>
    <w:p w14:paraId="0DE48A57" w14:textId="77777777" w:rsidR="00F06066" w:rsidRDefault="00F06066" w:rsidP="0003039F">
      <w:pPr>
        <w:pStyle w:val="NoSpacing"/>
        <w:spacing w:line="276" w:lineRule="auto"/>
        <w:jc w:val="both"/>
      </w:pPr>
      <w:r>
        <w:t>The NEC’s Compliance Program shifted in response to operational challenges associated with COVID-19, which included the following:</w:t>
      </w:r>
    </w:p>
    <w:p w14:paraId="139BD305" w14:textId="77777777" w:rsidR="00F06066" w:rsidRDefault="00F06066" w:rsidP="0003039F">
      <w:pPr>
        <w:pStyle w:val="NoSpacing"/>
        <w:numPr>
          <w:ilvl w:val="0"/>
          <w:numId w:val="27"/>
        </w:numPr>
        <w:spacing w:line="276" w:lineRule="auto"/>
        <w:jc w:val="both"/>
      </w:pPr>
      <w:r>
        <w:t>Enhanced coordination with compliance staff in municipalities, conservation authorities and other ministries/agencies.  This was necessary to optimize responsiveness, coordinate inspections and facilitate action by the most appropriate means.</w:t>
      </w:r>
    </w:p>
    <w:p w14:paraId="5BFB2F1F" w14:textId="77777777" w:rsidR="00F06066" w:rsidRDefault="00F06066" w:rsidP="0003039F">
      <w:pPr>
        <w:pStyle w:val="NoSpacing"/>
        <w:numPr>
          <w:ilvl w:val="0"/>
          <w:numId w:val="27"/>
        </w:numPr>
        <w:spacing w:line="276" w:lineRule="auto"/>
        <w:jc w:val="both"/>
      </w:pPr>
      <w:r>
        <w:t>Enhanced triaging of occurrences to:</w:t>
      </w:r>
    </w:p>
    <w:p w14:paraId="4E4B9CF7" w14:textId="77777777" w:rsidR="00F06066" w:rsidRDefault="00F06066" w:rsidP="0003039F">
      <w:pPr>
        <w:pStyle w:val="NoSpacing"/>
        <w:numPr>
          <w:ilvl w:val="1"/>
          <w:numId w:val="27"/>
        </w:numPr>
        <w:spacing w:line="276" w:lineRule="auto"/>
        <w:jc w:val="both"/>
      </w:pPr>
      <w:r>
        <w:t>focus inspections and compliance action on the highest risk situations</w:t>
      </w:r>
    </w:p>
    <w:p w14:paraId="45D18E5D" w14:textId="435CD3AB" w:rsidR="00F06066" w:rsidRDefault="00F06066" w:rsidP="0003039F">
      <w:pPr>
        <w:pStyle w:val="NoSpacing"/>
        <w:numPr>
          <w:ilvl w:val="1"/>
          <w:numId w:val="27"/>
        </w:numPr>
        <w:spacing w:line="276" w:lineRule="auto"/>
        <w:jc w:val="both"/>
      </w:pPr>
      <w:r>
        <w:t>optimize use of other compliance tools (</w:t>
      </w:r>
      <w:r w:rsidR="008A3DCC">
        <w:t>e.g.</w:t>
      </w:r>
      <w:r>
        <w:t>; voluntary compliance; compliance notification letters)</w:t>
      </w:r>
    </w:p>
    <w:p w14:paraId="134F6F70" w14:textId="77777777" w:rsidR="00F06066" w:rsidRDefault="00F06066" w:rsidP="0003039F">
      <w:pPr>
        <w:pStyle w:val="NoSpacing"/>
        <w:numPr>
          <w:ilvl w:val="1"/>
          <w:numId w:val="27"/>
        </w:numPr>
        <w:spacing w:line="276" w:lineRule="auto"/>
        <w:jc w:val="both"/>
      </w:pPr>
      <w:r>
        <w:t>utilize email and telephone to engage in lower risk situations.</w:t>
      </w:r>
    </w:p>
    <w:p w14:paraId="14AA910B" w14:textId="32BC6D2D" w:rsidR="00CA45D8" w:rsidRPr="00FD7061" w:rsidRDefault="00CA45D8" w:rsidP="0003039F">
      <w:pPr>
        <w:pStyle w:val="NoSpacing"/>
        <w:numPr>
          <w:ilvl w:val="0"/>
          <w:numId w:val="27"/>
        </w:numPr>
        <w:spacing w:line="276" w:lineRule="auto"/>
        <w:jc w:val="both"/>
      </w:pPr>
      <w:r w:rsidRPr="00FD7061">
        <w:t xml:space="preserve">Increased focus on resolving compliance issues </w:t>
      </w:r>
      <w:r w:rsidR="00252468" w:rsidRPr="00FD7061">
        <w:t>while working from home as</w:t>
      </w:r>
      <w:r w:rsidRPr="00FD7061">
        <w:t xml:space="preserve"> opposed to visiting sites. This ultimately reduced the number of hours spent travelling in a vehicle, and more time for working on compliance issues. </w:t>
      </w:r>
    </w:p>
    <w:p w14:paraId="6E8B15C1" w14:textId="5314CD15" w:rsidR="00CA45D8" w:rsidRPr="00FD7061" w:rsidRDefault="00CA45D8" w:rsidP="0003039F">
      <w:pPr>
        <w:pStyle w:val="NoSpacing"/>
        <w:numPr>
          <w:ilvl w:val="0"/>
          <w:numId w:val="27"/>
        </w:numPr>
        <w:spacing w:line="276" w:lineRule="auto"/>
        <w:jc w:val="both"/>
      </w:pPr>
      <w:r w:rsidRPr="00FD7061">
        <w:t xml:space="preserve">Revised processes relating to requests for compliance updates, handling of new complaints, property information reports, </w:t>
      </w:r>
      <w:r w:rsidR="00382D64" w:rsidRPr="00FD7061">
        <w:t>which streamlined processes and more effectively managed</w:t>
      </w:r>
      <w:r w:rsidR="00FD7061" w:rsidRPr="00FD7061">
        <w:t xml:space="preserve"> public interaction.</w:t>
      </w:r>
    </w:p>
    <w:p w14:paraId="6972D382" w14:textId="77777777" w:rsidR="00F06066" w:rsidRPr="006414A3" w:rsidRDefault="00F06066" w:rsidP="0003039F">
      <w:pPr>
        <w:pStyle w:val="NoSpacing"/>
        <w:spacing w:line="276" w:lineRule="auto"/>
        <w:jc w:val="both"/>
      </w:pPr>
    </w:p>
    <w:p w14:paraId="7529086D" w14:textId="17F9E173" w:rsidR="00F06066" w:rsidRPr="00B1755D" w:rsidRDefault="00F06066" w:rsidP="0003039F">
      <w:pPr>
        <w:pStyle w:val="NoSpacing"/>
        <w:spacing w:line="276" w:lineRule="auto"/>
        <w:jc w:val="both"/>
      </w:pPr>
      <w:r w:rsidRPr="00B1755D">
        <w:t xml:space="preserve">The NEPDA provides for administrative orders and offence provisions to address non-compliance. In support of the shared delivery of functions under the compliance protocol, and by applying an Informed Judgment Matrix (see Figure </w:t>
      </w:r>
      <w:r w:rsidR="008A45E6">
        <w:t>10</w:t>
      </w:r>
      <w:r w:rsidR="008A45E6" w:rsidRPr="00B1755D">
        <w:t xml:space="preserve"> </w:t>
      </w:r>
      <w:r w:rsidRPr="00B1755D">
        <w:t xml:space="preserve">below), the NEC identifies the need for </w:t>
      </w:r>
      <w:r w:rsidR="00673302">
        <w:t>NDMNRF</w:t>
      </w:r>
      <w:r w:rsidRPr="00B1755D">
        <w:t xml:space="preserve"> support at any stage of preparing for or conducting an inspection or investigation. The request for support may be simply for advice on how to proceed on a compliance-related matter, or for the assistance of a Conservation Officer in an inspection, or for a Conservation Officer to take a lead role in the inspection or </w:t>
      </w:r>
      <w:r w:rsidRPr="00B1755D">
        <w:lastRenderedPageBreak/>
        <w:t xml:space="preserve">investigation. The NEC, in consultation with the </w:t>
      </w:r>
      <w:r w:rsidR="00673302">
        <w:t>NDMNRF</w:t>
      </w:r>
      <w:r w:rsidRPr="00B1755D">
        <w:t>, evaluates issues to determine the appropriate response from the suite of options in the compliance continuum. The options include encouraging voluntary compliance, using a development permit to gain compliance, an administrative order, a warning, and/or laying of a charge.</w:t>
      </w:r>
    </w:p>
    <w:p w14:paraId="42353482" w14:textId="77777777" w:rsidR="00F06066" w:rsidRPr="00B1755D" w:rsidRDefault="00F06066" w:rsidP="00F06066">
      <w:pPr>
        <w:pStyle w:val="NoSpacing"/>
        <w:jc w:val="both"/>
      </w:pPr>
    </w:p>
    <w:bookmarkEnd w:id="74"/>
    <w:p w14:paraId="20AD3FE5" w14:textId="77777777" w:rsidR="0003039F" w:rsidRDefault="0003039F">
      <w:pPr>
        <w:rPr>
          <w:rFonts w:ascii="Calibri" w:eastAsia="Calibri" w:hAnsi="Calibri"/>
          <w:b/>
          <w:bCs/>
          <w:sz w:val="22"/>
          <w:lang w:val="en-US"/>
        </w:rPr>
      </w:pPr>
      <w:r>
        <w:rPr>
          <w:b/>
          <w:bCs/>
          <w:sz w:val="22"/>
        </w:rPr>
        <w:br w:type="page"/>
      </w:r>
    </w:p>
    <w:p w14:paraId="531D0142" w14:textId="2989A5E0" w:rsidR="00F06066" w:rsidRPr="00420E2B" w:rsidRDefault="006E6429" w:rsidP="00F06066">
      <w:pPr>
        <w:pStyle w:val="BodyText"/>
        <w:rPr>
          <w:b/>
          <w:bCs/>
          <w:sz w:val="22"/>
          <w:szCs w:val="22"/>
        </w:rPr>
      </w:pPr>
      <w:r>
        <w:rPr>
          <w:b/>
          <w:bCs/>
          <w:sz w:val="22"/>
          <w:szCs w:val="22"/>
        </w:rPr>
        <w:lastRenderedPageBreak/>
        <w:t>Figure 10</w:t>
      </w:r>
    </w:p>
    <w:p w14:paraId="1AC6295B" w14:textId="77777777" w:rsidR="00F06066" w:rsidRDefault="00F06066" w:rsidP="00F06066">
      <w:pPr>
        <w:pStyle w:val="BodyText"/>
      </w:pPr>
    </w:p>
    <w:tbl>
      <w:tblPr>
        <w:tblW w:w="10065" w:type="dxa"/>
        <w:tblInd w:w="111" w:type="dxa"/>
        <w:tblLayout w:type="fixed"/>
        <w:tblCellMar>
          <w:left w:w="0" w:type="dxa"/>
          <w:right w:w="0" w:type="dxa"/>
        </w:tblCellMar>
        <w:tblLook w:val="0000" w:firstRow="0" w:lastRow="0" w:firstColumn="0" w:lastColumn="0" w:noHBand="0" w:noVBand="0"/>
      </w:tblPr>
      <w:tblGrid>
        <w:gridCol w:w="705"/>
        <w:gridCol w:w="2341"/>
        <w:gridCol w:w="1395"/>
        <w:gridCol w:w="1939"/>
        <w:gridCol w:w="1843"/>
        <w:gridCol w:w="1842"/>
      </w:tblGrid>
      <w:tr w:rsidR="00F06066" w:rsidRPr="00F366F0" w14:paraId="4B00F858" w14:textId="77777777" w:rsidTr="00496BC1">
        <w:trPr>
          <w:trHeight w:hRule="exact" w:val="687"/>
        </w:trPr>
        <w:tc>
          <w:tcPr>
            <w:tcW w:w="3046" w:type="dxa"/>
            <w:gridSpan w:val="2"/>
            <w:vMerge w:val="restart"/>
            <w:tcBorders>
              <w:top w:val="single" w:sz="24" w:space="0" w:color="1F497C"/>
              <w:left w:val="single" w:sz="24" w:space="0" w:color="1F497C"/>
              <w:bottom w:val="single" w:sz="24" w:space="0" w:color="1F497C"/>
              <w:right w:val="single" w:sz="2" w:space="0" w:color="1F497C"/>
            </w:tcBorders>
            <w:shd w:val="clear" w:color="auto" w:fill="C0C0C0"/>
          </w:tcPr>
          <w:p w14:paraId="3F2D3C82" w14:textId="77777777" w:rsidR="00F06066" w:rsidRPr="00F366F0" w:rsidRDefault="00F06066" w:rsidP="00AB2342">
            <w:pPr>
              <w:widowControl w:val="0"/>
              <w:autoSpaceDE w:val="0"/>
              <w:autoSpaceDN w:val="0"/>
              <w:adjustRightInd w:val="0"/>
              <w:spacing w:after="0" w:line="200" w:lineRule="exact"/>
              <w:rPr>
                <w:rFonts w:ascii="Times New Roman" w:eastAsia="Times New Roman" w:hAnsi="Times New Roman" w:cs="Times New Roman"/>
                <w:sz w:val="20"/>
                <w:szCs w:val="20"/>
              </w:rPr>
            </w:pPr>
          </w:p>
          <w:p w14:paraId="457726C3" w14:textId="77777777" w:rsidR="00F06066" w:rsidRPr="00F366F0" w:rsidRDefault="00F06066" w:rsidP="00AB2342">
            <w:pPr>
              <w:widowControl w:val="0"/>
              <w:autoSpaceDE w:val="0"/>
              <w:autoSpaceDN w:val="0"/>
              <w:adjustRightInd w:val="0"/>
              <w:spacing w:before="18" w:after="0" w:line="280" w:lineRule="exact"/>
              <w:rPr>
                <w:rFonts w:ascii="Times New Roman" w:eastAsia="Times New Roman" w:hAnsi="Times New Roman" w:cs="Times New Roman"/>
                <w:sz w:val="28"/>
                <w:szCs w:val="28"/>
              </w:rPr>
            </w:pPr>
          </w:p>
          <w:p w14:paraId="0716D106" w14:textId="77777777" w:rsidR="00F06066" w:rsidRPr="00F366F0" w:rsidRDefault="00F06066" w:rsidP="00AB2342">
            <w:pPr>
              <w:widowControl w:val="0"/>
              <w:autoSpaceDE w:val="0"/>
              <w:autoSpaceDN w:val="0"/>
              <w:adjustRightInd w:val="0"/>
              <w:spacing w:after="0" w:line="240" w:lineRule="auto"/>
              <w:ind w:left="46" w:right="53" w:firstLine="1"/>
              <w:jc w:val="center"/>
              <w:rPr>
                <w:rFonts w:ascii="Times New Roman" w:eastAsia="Times New Roman" w:hAnsi="Times New Roman" w:cs="Times New Roman"/>
              </w:rPr>
            </w:pPr>
            <w:r w:rsidRPr="00F366F0">
              <w:rPr>
                <w:rFonts w:ascii="Arial" w:eastAsia="Times New Roman" w:hAnsi="Arial" w:cs="Calibri"/>
                <w:w w:val="99"/>
                <w:sz w:val="40"/>
                <w:szCs w:val="40"/>
              </w:rPr>
              <w:t xml:space="preserve">Informed </w:t>
            </w:r>
            <w:r w:rsidRPr="00F366F0">
              <w:rPr>
                <w:rFonts w:ascii="Arial" w:eastAsia="Times New Roman" w:hAnsi="Arial" w:cs="Calibri"/>
                <w:sz w:val="40"/>
                <w:szCs w:val="40"/>
              </w:rPr>
              <w:t>Judgement</w:t>
            </w:r>
            <w:r w:rsidRPr="00F366F0">
              <w:rPr>
                <w:rFonts w:ascii="Arial" w:eastAsia="Times New Roman" w:hAnsi="Arial" w:cs="Calibri"/>
                <w:spacing w:val="-18"/>
                <w:sz w:val="40"/>
                <w:szCs w:val="40"/>
              </w:rPr>
              <w:t xml:space="preserve"> </w:t>
            </w:r>
            <w:r w:rsidRPr="00F366F0">
              <w:rPr>
                <w:rFonts w:ascii="Arial" w:eastAsia="Times New Roman" w:hAnsi="Arial" w:cs="Calibri"/>
                <w:w w:val="99"/>
                <w:sz w:val="40"/>
                <w:szCs w:val="40"/>
              </w:rPr>
              <w:t>Matrix (IJM)</w:t>
            </w:r>
          </w:p>
        </w:tc>
        <w:tc>
          <w:tcPr>
            <w:tcW w:w="7019" w:type="dxa"/>
            <w:gridSpan w:val="4"/>
            <w:tcBorders>
              <w:top w:val="single" w:sz="24" w:space="0" w:color="1F497C"/>
              <w:left w:val="single" w:sz="2" w:space="0" w:color="1F497C"/>
              <w:bottom w:val="single" w:sz="2" w:space="0" w:color="1F497C"/>
              <w:right w:val="single" w:sz="24" w:space="0" w:color="1F497C"/>
            </w:tcBorders>
          </w:tcPr>
          <w:p w14:paraId="115D7FEA" w14:textId="77777777" w:rsidR="00F06066" w:rsidRPr="00F366F0" w:rsidRDefault="00F06066" w:rsidP="00AB2342">
            <w:pPr>
              <w:widowControl w:val="0"/>
              <w:autoSpaceDE w:val="0"/>
              <w:autoSpaceDN w:val="0"/>
              <w:adjustRightInd w:val="0"/>
              <w:spacing w:before="92" w:after="0" w:line="240" w:lineRule="auto"/>
              <w:ind w:left="1197" w:right="-20"/>
              <w:rPr>
                <w:rFonts w:ascii="Times New Roman" w:eastAsia="Times New Roman" w:hAnsi="Times New Roman" w:cs="Times New Roman"/>
              </w:rPr>
            </w:pPr>
            <w:r w:rsidRPr="00F366F0">
              <w:rPr>
                <w:rFonts w:ascii="Arial" w:eastAsia="Times New Roman" w:hAnsi="Arial" w:cs="Calibri"/>
                <w:sz w:val="28"/>
                <w:szCs w:val="28"/>
              </w:rPr>
              <w:t>Severity</w:t>
            </w:r>
            <w:r w:rsidRPr="00F366F0">
              <w:rPr>
                <w:rFonts w:ascii="Arial" w:eastAsia="Times New Roman" w:hAnsi="Arial" w:cs="Calibri"/>
                <w:spacing w:val="-15"/>
                <w:sz w:val="28"/>
                <w:szCs w:val="28"/>
              </w:rPr>
              <w:t xml:space="preserve"> </w:t>
            </w:r>
            <w:r w:rsidRPr="00F366F0">
              <w:rPr>
                <w:rFonts w:ascii="Arial" w:eastAsia="Times New Roman" w:hAnsi="Arial" w:cs="Calibri"/>
                <w:sz w:val="28"/>
                <w:szCs w:val="28"/>
              </w:rPr>
              <w:t>of</w:t>
            </w:r>
            <w:r w:rsidRPr="00F366F0">
              <w:rPr>
                <w:rFonts w:ascii="Arial" w:eastAsia="Times New Roman" w:hAnsi="Arial" w:cs="Calibri"/>
                <w:spacing w:val="-3"/>
                <w:sz w:val="28"/>
                <w:szCs w:val="28"/>
              </w:rPr>
              <w:t xml:space="preserve"> Alleged</w:t>
            </w:r>
            <w:r w:rsidRPr="00F366F0">
              <w:rPr>
                <w:rFonts w:ascii="Arial" w:eastAsia="Times New Roman" w:hAnsi="Arial" w:cs="Calibri"/>
                <w:spacing w:val="-3"/>
                <w:sz w:val="40"/>
                <w:szCs w:val="40"/>
              </w:rPr>
              <w:t xml:space="preserve"> </w:t>
            </w:r>
            <w:r w:rsidRPr="00F366F0">
              <w:rPr>
                <w:rFonts w:ascii="Arial" w:eastAsia="Times New Roman" w:hAnsi="Arial" w:cs="Calibri"/>
                <w:sz w:val="28"/>
                <w:szCs w:val="28"/>
              </w:rPr>
              <w:t>Violations</w:t>
            </w:r>
          </w:p>
        </w:tc>
      </w:tr>
      <w:tr w:rsidR="00F06066" w:rsidRPr="00F366F0" w14:paraId="7EFDBD19" w14:textId="77777777" w:rsidTr="00496BC1">
        <w:trPr>
          <w:trHeight w:hRule="exact" w:val="2129"/>
        </w:trPr>
        <w:tc>
          <w:tcPr>
            <w:tcW w:w="3046" w:type="dxa"/>
            <w:gridSpan w:val="2"/>
            <w:vMerge/>
            <w:tcBorders>
              <w:top w:val="single" w:sz="24" w:space="0" w:color="1F497C"/>
              <w:left w:val="single" w:sz="24" w:space="0" w:color="1F497C"/>
              <w:bottom w:val="single" w:sz="24" w:space="0" w:color="1F497C"/>
              <w:right w:val="single" w:sz="2" w:space="0" w:color="1F497C"/>
            </w:tcBorders>
            <w:shd w:val="clear" w:color="auto" w:fill="C0C0C0"/>
          </w:tcPr>
          <w:p w14:paraId="7F44149E" w14:textId="77777777" w:rsidR="00F06066" w:rsidRPr="00F366F0" w:rsidRDefault="00F06066" w:rsidP="00AB2342">
            <w:pPr>
              <w:widowControl w:val="0"/>
              <w:autoSpaceDE w:val="0"/>
              <w:autoSpaceDN w:val="0"/>
              <w:adjustRightInd w:val="0"/>
              <w:spacing w:before="92" w:after="0" w:line="240" w:lineRule="auto"/>
              <w:ind w:left="1197" w:right="-20"/>
              <w:rPr>
                <w:rFonts w:ascii="Times New Roman" w:eastAsia="Times New Roman" w:hAnsi="Times New Roman" w:cs="Times New Roman"/>
              </w:rPr>
            </w:pPr>
          </w:p>
        </w:tc>
        <w:tc>
          <w:tcPr>
            <w:tcW w:w="1395" w:type="dxa"/>
            <w:tcBorders>
              <w:top w:val="single" w:sz="2" w:space="0" w:color="1F497C"/>
              <w:left w:val="single" w:sz="2" w:space="0" w:color="1F497C"/>
              <w:bottom w:val="single" w:sz="24" w:space="0" w:color="1F497C"/>
              <w:right w:val="single" w:sz="2" w:space="0" w:color="1F497C"/>
            </w:tcBorders>
            <w:textDirection w:val="btLr"/>
          </w:tcPr>
          <w:p w14:paraId="71D7EAA1" w14:textId="77777777" w:rsidR="00F06066" w:rsidRPr="00F366F0" w:rsidRDefault="00F06066" w:rsidP="00AB2342">
            <w:pPr>
              <w:widowControl w:val="0"/>
              <w:autoSpaceDE w:val="0"/>
              <w:autoSpaceDN w:val="0"/>
              <w:adjustRightInd w:val="0"/>
              <w:spacing w:before="1" w:after="0" w:line="190" w:lineRule="exact"/>
              <w:rPr>
                <w:rFonts w:ascii="Times New Roman" w:eastAsia="Times New Roman" w:hAnsi="Times New Roman" w:cs="Times New Roman"/>
                <w:sz w:val="19"/>
                <w:szCs w:val="19"/>
              </w:rPr>
            </w:pPr>
          </w:p>
          <w:p w14:paraId="03511ECC" w14:textId="77777777" w:rsidR="00F06066" w:rsidRPr="00F366F0" w:rsidRDefault="00F06066" w:rsidP="00AB2342">
            <w:pPr>
              <w:widowControl w:val="0"/>
              <w:autoSpaceDE w:val="0"/>
              <w:autoSpaceDN w:val="0"/>
              <w:adjustRightInd w:val="0"/>
              <w:spacing w:after="0" w:line="200" w:lineRule="exact"/>
              <w:rPr>
                <w:rFonts w:ascii="Times New Roman" w:eastAsia="Times New Roman" w:hAnsi="Times New Roman" w:cs="Times New Roman"/>
                <w:sz w:val="20"/>
                <w:szCs w:val="20"/>
              </w:rPr>
            </w:pPr>
          </w:p>
          <w:p w14:paraId="5A1738C5" w14:textId="77777777" w:rsidR="00F06066" w:rsidRPr="00F366F0" w:rsidRDefault="00F06066" w:rsidP="00AB2342">
            <w:pPr>
              <w:widowControl w:val="0"/>
              <w:autoSpaceDE w:val="0"/>
              <w:autoSpaceDN w:val="0"/>
              <w:adjustRightInd w:val="0"/>
              <w:spacing w:after="0" w:line="200" w:lineRule="exact"/>
              <w:rPr>
                <w:rFonts w:ascii="Times New Roman" w:eastAsia="Times New Roman" w:hAnsi="Times New Roman" w:cs="Times New Roman"/>
                <w:sz w:val="20"/>
                <w:szCs w:val="20"/>
              </w:rPr>
            </w:pPr>
          </w:p>
          <w:p w14:paraId="47E9D468" w14:textId="77777777" w:rsidR="00F06066" w:rsidRPr="00F366F0" w:rsidRDefault="00F06066" w:rsidP="00AB2342">
            <w:pPr>
              <w:widowControl w:val="0"/>
              <w:autoSpaceDE w:val="0"/>
              <w:autoSpaceDN w:val="0"/>
              <w:adjustRightInd w:val="0"/>
              <w:spacing w:after="0" w:line="240" w:lineRule="auto"/>
              <w:ind w:left="160" w:right="-20"/>
              <w:rPr>
                <w:rFonts w:ascii="Times New Roman" w:eastAsia="Times New Roman" w:hAnsi="Times New Roman" w:cs="Times New Roman"/>
              </w:rPr>
            </w:pPr>
            <w:r w:rsidRPr="00F366F0">
              <w:rPr>
                <w:rFonts w:ascii="Arial" w:eastAsia="Times New Roman" w:hAnsi="Arial" w:cs="Calibri"/>
              </w:rPr>
              <w:t>1.</w:t>
            </w:r>
            <w:r w:rsidRPr="00F366F0">
              <w:rPr>
                <w:rFonts w:ascii="Arial" w:eastAsia="Times New Roman" w:hAnsi="Arial" w:cs="Calibri"/>
                <w:spacing w:val="-3"/>
              </w:rPr>
              <w:t xml:space="preserve"> </w:t>
            </w:r>
            <w:r w:rsidRPr="00F366F0">
              <w:rPr>
                <w:rFonts w:ascii="Arial" w:eastAsia="Times New Roman" w:hAnsi="Arial" w:cs="Calibri"/>
              </w:rPr>
              <w:t>Administr</w:t>
            </w:r>
            <w:r w:rsidRPr="00F366F0">
              <w:rPr>
                <w:rFonts w:ascii="Arial" w:eastAsia="Times New Roman" w:hAnsi="Arial" w:cs="Calibri"/>
                <w:spacing w:val="1"/>
              </w:rPr>
              <w:t>a</w:t>
            </w:r>
            <w:r w:rsidRPr="00F366F0">
              <w:rPr>
                <w:rFonts w:ascii="Arial" w:eastAsia="Times New Roman" w:hAnsi="Arial" w:cs="Calibri"/>
              </w:rPr>
              <w:t>tive</w:t>
            </w:r>
          </w:p>
        </w:tc>
        <w:tc>
          <w:tcPr>
            <w:tcW w:w="1939" w:type="dxa"/>
            <w:tcBorders>
              <w:top w:val="single" w:sz="2" w:space="0" w:color="1F497C"/>
              <w:left w:val="single" w:sz="2" w:space="0" w:color="1F497C"/>
              <w:bottom w:val="single" w:sz="24" w:space="0" w:color="1F497C"/>
              <w:right w:val="single" w:sz="2" w:space="0" w:color="1F497C"/>
            </w:tcBorders>
            <w:textDirection w:val="btLr"/>
          </w:tcPr>
          <w:p w14:paraId="70866768" w14:textId="77777777" w:rsidR="00F06066" w:rsidRPr="00F366F0" w:rsidRDefault="00F06066" w:rsidP="00AB2342">
            <w:pPr>
              <w:widowControl w:val="0"/>
              <w:autoSpaceDE w:val="0"/>
              <w:autoSpaceDN w:val="0"/>
              <w:adjustRightInd w:val="0"/>
              <w:spacing w:before="6" w:after="0" w:line="110" w:lineRule="exact"/>
              <w:rPr>
                <w:rFonts w:ascii="Times New Roman" w:eastAsia="Times New Roman" w:hAnsi="Times New Roman" w:cs="Times New Roman"/>
                <w:sz w:val="11"/>
                <w:szCs w:val="11"/>
              </w:rPr>
            </w:pPr>
          </w:p>
          <w:p w14:paraId="6F39E183" w14:textId="77777777" w:rsidR="00F06066" w:rsidRPr="00F366F0" w:rsidRDefault="00F06066" w:rsidP="00AB2342">
            <w:pPr>
              <w:widowControl w:val="0"/>
              <w:autoSpaceDE w:val="0"/>
              <w:autoSpaceDN w:val="0"/>
              <w:adjustRightInd w:val="0"/>
              <w:spacing w:after="0" w:line="200" w:lineRule="exact"/>
              <w:rPr>
                <w:rFonts w:ascii="Times New Roman" w:eastAsia="Times New Roman" w:hAnsi="Times New Roman" w:cs="Times New Roman"/>
                <w:sz w:val="20"/>
                <w:szCs w:val="20"/>
              </w:rPr>
            </w:pPr>
          </w:p>
          <w:p w14:paraId="1A8D4B9D" w14:textId="77777777" w:rsidR="00F06066" w:rsidRPr="00F366F0" w:rsidRDefault="00F06066" w:rsidP="00AB2342">
            <w:pPr>
              <w:widowControl w:val="0"/>
              <w:autoSpaceDE w:val="0"/>
              <w:autoSpaceDN w:val="0"/>
              <w:adjustRightInd w:val="0"/>
              <w:spacing w:after="0" w:line="245" w:lineRule="auto"/>
              <w:ind w:left="246" w:right="225" w:firstLine="1"/>
              <w:jc w:val="center"/>
              <w:rPr>
                <w:rFonts w:ascii="Times New Roman" w:eastAsia="Times New Roman" w:hAnsi="Times New Roman" w:cs="Times New Roman"/>
              </w:rPr>
            </w:pPr>
            <w:r w:rsidRPr="00F366F0">
              <w:rPr>
                <w:rFonts w:ascii="Arial" w:eastAsia="Times New Roman" w:hAnsi="Arial" w:cs="Calibri"/>
              </w:rPr>
              <w:t>2.</w:t>
            </w:r>
            <w:r w:rsidRPr="00F366F0">
              <w:rPr>
                <w:rFonts w:ascii="Arial" w:eastAsia="Times New Roman" w:hAnsi="Arial" w:cs="Calibri"/>
                <w:spacing w:val="-3"/>
              </w:rPr>
              <w:t xml:space="preserve"> </w:t>
            </w:r>
            <w:r w:rsidRPr="00F366F0">
              <w:rPr>
                <w:rFonts w:ascii="Arial" w:eastAsia="Times New Roman" w:hAnsi="Arial" w:cs="Calibri"/>
                <w:w w:val="99"/>
              </w:rPr>
              <w:t>M</w:t>
            </w:r>
            <w:r w:rsidRPr="00F366F0">
              <w:rPr>
                <w:rFonts w:ascii="Arial" w:eastAsia="Times New Roman" w:hAnsi="Arial" w:cs="Calibri"/>
                <w:spacing w:val="1"/>
                <w:w w:val="99"/>
              </w:rPr>
              <w:t>i</w:t>
            </w:r>
            <w:r w:rsidRPr="00F366F0">
              <w:rPr>
                <w:rFonts w:ascii="Arial" w:eastAsia="Times New Roman" w:hAnsi="Arial" w:cs="Calibri"/>
                <w:w w:val="99"/>
              </w:rPr>
              <w:t xml:space="preserve">nor </w:t>
            </w:r>
            <w:r w:rsidRPr="00F366F0">
              <w:rPr>
                <w:rFonts w:ascii="Arial" w:eastAsia="Times New Roman" w:hAnsi="Arial" w:cs="Calibri"/>
              </w:rPr>
              <w:t>Operational</w:t>
            </w:r>
            <w:r w:rsidRPr="00F366F0">
              <w:rPr>
                <w:rFonts w:ascii="Arial" w:eastAsia="Times New Roman" w:hAnsi="Arial" w:cs="Calibri"/>
                <w:spacing w:val="-12"/>
              </w:rPr>
              <w:t xml:space="preserve"> </w:t>
            </w:r>
            <w:r w:rsidRPr="00F366F0">
              <w:rPr>
                <w:rFonts w:ascii="Arial" w:eastAsia="Times New Roman" w:hAnsi="Arial" w:cs="Calibri"/>
                <w:w w:val="99"/>
              </w:rPr>
              <w:t>/ Environm</w:t>
            </w:r>
            <w:r w:rsidRPr="00F366F0">
              <w:rPr>
                <w:rFonts w:ascii="Arial" w:eastAsia="Times New Roman" w:hAnsi="Arial" w:cs="Calibri"/>
                <w:spacing w:val="1"/>
                <w:w w:val="99"/>
              </w:rPr>
              <w:t>e</w:t>
            </w:r>
            <w:r w:rsidRPr="00F366F0">
              <w:rPr>
                <w:rFonts w:ascii="Arial" w:eastAsia="Times New Roman" w:hAnsi="Arial" w:cs="Calibri"/>
                <w:w w:val="99"/>
              </w:rPr>
              <w:t>n</w:t>
            </w:r>
            <w:r w:rsidRPr="00F366F0">
              <w:rPr>
                <w:rFonts w:ascii="Arial" w:eastAsia="Times New Roman" w:hAnsi="Arial" w:cs="Calibri"/>
                <w:spacing w:val="1"/>
                <w:w w:val="99"/>
              </w:rPr>
              <w:t>t</w:t>
            </w:r>
            <w:r w:rsidRPr="00F366F0">
              <w:rPr>
                <w:rFonts w:ascii="Arial" w:eastAsia="Times New Roman" w:hAnsi="Arial" w:cs="Calibri"/>
                <w:w w:val="99"/>
              </w:rPr>
              <w:t>a</w:t>
            </w:r>
            <w:r w:rsidRPr="00F366F0">
              <w:rPr>
                <w:rFonts w:ascii="Arial" w:eastAsia="Times New Roman" w:hAnsi="Arial" w:cs="Calibri"/>
              </w:rPr>
              <w:t>l</w:t>
            </w:r>
          </w:p>
        </w:tc>
        <w:tc>
          <w:tcPr>
            <w:tcW w:w="1843" w:type="dxa"/>
            <w:tcBorders>
              <w:top w:val="single" w:sz="2" w:space="0" w:color="1F497C"/>
              <w:left w:val="single" w:sz="2" w:space="0" w:color="1F497C"/>
              <w:bottom w:val="single" w:sz="24" w:space="0" w:color="1F497C"/>
              <w:right w:val="single" w:sz="2" w:space="0" w:color="1F497C"/>
            </w:tcBorders>
            <w:textDirection w:val="btLr"/>
          </w:tcPr>
          <w:p w14:paraId="399A849A" w14:textId="77777777" w:rsidR="00F06066" w:rsidRPr="00F366F0" w:rsidRDefault="00F06066" w:rsidP="00AB2342">
            <w:pPr>
              <w:widowControl w:val="0"/>
              <w:autoSpaceDE w:val="0"/>
              <w:autoSpaceDN w:val="0"/>
              <w:adjustRightInd w:val="0"/>
              <w:spacing w:before="8" w:after="0" w:line="110" w:lineRule="exact"/>
              <w:rPr>
                <w:rFonts w:ascii="Times New Roman" w:eastAsia="Times New Roman" w:hAnsi="Times New Roman" w:cs="Times New Roman"/>
                <w:sz w:val="11"/>
                <w:szCs w:val="11"/>
              </w:rPr>
            </w:pPr>
          </w:p>
          <w:p w14:paraId="77DDD51E" w14:textId="77777777" w:rsidR="00F06066" w:rsidRPr="00F366F0" w:rsidRDefault="00F06066" w:rsidP="00AB2342">
            <w:pPr>
              <w:widowControl w:val="0"/>
              <w:autoSpaceDE w:val="0"/>
              <w:autoSpaceDN w:val="0"/>
              <w:adjustRightInd w:val="0"/>
              <w:spacing w:after="0" w:line="200" w:lineRule="exact"/>
              <w:rPr>
                <w:rFonts w:ascii="Times New Roman" w:eastAsia="Times New Roman" w:hAnsi="Times New Roman" w:cs="Times New Roman"/>
                <w:sz w:val="20"/>
                <w:szCs w:val="20"/>
              </w:rPr>
            </w:pPr>
          </w:p>
          <w:p w14:paraId="1445E38D" w14:textId="77777777" w:rsidR="00F06066" w:rsidRPr="00F366F0" w:rsidRDefault="00F06066" w:rsidP="00AB2342">
            <w:pPr>
              <w:widowControl w:val="0"/>
              <w:autoSpaceDE w:val="0"/>
              <w:autoSpaceDN w:val="0"/>
              <w:adjustRightInd w:val="0"/>
              <w:spacing w:after="0" w:line="245" w:lineRule="auto"/>
              <w:ind w:left="246" w:right="226" w:firstLine="2"/>
              <w:jc w:val="center"/>
              <w:rPr>
                <w:rFonts w:ascii="Times New Roman" w:eastAsia="Times New Roman" w:hAnsi="Times New Roman" w:cs="Times New Roman"/>
              </w:rPr>
            </w:pPr>
            <w:r w:rsidRPr="00F366F0">
              <w:rPr>
                <w:rFonts w:ascii="Arial" w:eastAsia="Times New Roman" w:hAnsi="Arial" w:cs="Calibri"/>
              </w:rPr>
              <w:t>3.</w:t>
            </w:r>
            <w:r w:rsidRPr="00F366F0">
              <w:rPr>
                <w:rFonts w:ascii="Arial" w:eastAsia="Times New Roman" w:hAnsi="Arial" w:cs="Calibri"/>
                <w:spacing w:val="-3"/>
              </w:rPr>
              <w:t xml:space="preserve"> </w:t>
            </w:r>
            <w:r w:rsidRPr="00F366F0">
              <w:rPr>
                <w:rFonts w:ascii="Arial" w:eastAsia="Times New Roman" w:hAnsi="Arial" w:cs="Calibri"/>
                <w:w w:val="99"/>
              </w:rPr>
              <w:t xml:space="preserve">Medium </w:t>
            </w:r>
            <w:r w:rsidRPr="00F366F0">
              <w:rPr>
                <w:rFonts w:ascii="Arial" w:eastAsia="Times New Roman" w:hAnsi="Arial" w:cs="Calibri"/>
              </w:rPr>
              <w:t>Operational</w:t>
            </w:r>
            <w:r w:rsidRPr="00F366F0">
              <w:rPr>
                <w:rFonts w:ascii="Arial" w:eastAsia="Times New Roman" w:hAnsi="Arial" w:cs="Calibri"/>
                <w:spacing w:val="-12"/>
              </w:rPr>
              <w:t xml:space="preserve"> </w:t>
            </w:r>
            <w:r w:rsidRPr="00F366F0">
              <w:rPr>
                <w:rFonts w:ascii="Arial" w:eastAsia="Times New Roman" w:hAnsi="Arial" w:cs="Calibri"/>
                <w:w w:val="99"/>
              </w:rPr>
              <w:t>/ Environm</w:t>
            </w:r>
            <w:r w:rsidRPr="00F366F0">
              <w:rPr>
                <w:rFonts w:ascii="Arial" w:eastAsia="Times New Roman" w:hAnsi="Arial" w:cs="Calibri"/>
                <w:spacing w:val="1"/>
                <w:w w:val="99"/>
              </w:rPr>
              <w:t>e</w:t>
            </w:r>
            <w:r w:rsidRPr="00F366F0">
              <w:rPr>
                <w:rFonts w:ascii="Arial" w:eastAsia="Times New Roman" w:hAnsi="Arial" w:cs="Calibri"/>
                <w:w w:val="99"/>
              </w:rPr>
              <w:t>n</w:t>
            </w:r>
            <w:r w:rsidRPr="00F366F0">
              <w:rPr>
                <w:rFonts w:ascii="Arial" w:eastAsia="Times New Roman" w:hAnsi="Arial" w:cs="Calibri"/>
                <w:spacing w:val="1"/>
                <w:w w:val="99"/>
              </w:rPr>
              <w:t>t</w:t>
            </w:r>
            <w:r w:rsidRPr="00F366F0">
              <w:rPr>
                <w:rFonts w:ascii="Arial" w:eastAsia="Times New Roman" w:hAnsi="Arial" w:cs="Calibri"/>
                <w:w w:val="99"/>
              </w:rPr>
              <w:t>a</w:t>
            </w:r>
            <w:r w:rsidRPr="00F366F0">
              <w:rPr>
                <w:rFonts w:ascii="Arial" w:eastAsia="Times New Roman" w:hAnsi="Arial" w:cs="Calibri"/>
              </w:rPr>
              <w:t>l</w:t>
            </w:r>
          </w:p>
        </w:tc>
        <w:tc>
          <w:tcPr>
            <w:tcW w:w="1842" w:type="dxa"/>
            <w:tcBorders>
              <w:top w:val="single" w:sz="2" w:space="0" w:color="1F497C"/>
              <w:left w:val="single" w:sz="2" w:space="0" w:color="1F497C"/>
              <w:bottom w:val="single" w:sz="24" w:space="0" w:color="1F497C"/>
              <w:right w:val="single" w:sz="24" w:space="0" w:color="1F497C"/>
            </w:tcBorders>
            <w:textDirection w:val="btLr"/>
          </w:tcPr>
          <w:p w14:paraId="5837513E" w14:textId="77777777" w:rsidR="00F06066" w:rsidRPr="00F366F0" w:rsidRDefault="00F06066" w:rsidP="00AB2342">
            <w:pPr>
              <w:widowControl w:val="0"/>
              <w:autoSpaceDE w:val="0"/>
              <w:autoSpaceDN w:val="0"/>
              <w:adjustRightInd w:val="0"/>
              <w:spacing w:before="3" w:after="0" w:line="120" w:lineRule="exact"/>
              <w:rPr>
                <w:rFonts w:ascii="Times New Roman" w:eastAsia="Times New Roman" w:hAnsi="Times New Roman" w:cs="Times New Roman"/>
                <w:sz w:val="12"/>
                <w:szCs w:val="12"/>
              </w:rPr>
            </w:pPr>
          </w:p>
          <w:p w14:paraId="5D349A21" w14:textId="77777777" w:rsidR="00F06066" w:rsidRPr="00F366F0" w:rsidRDefault="00F06066" w:rsidP="00AB2342">
            <w:pPr>
              <w:widowControl w:val="0"/>
              <w:autoSpaceDE w:val="0"/>
              <w:autoSpaceDN w:val="0"/>
              <w:adjustRightInd w:val="0"/>
              <w:spacing w:after="0" w:line="200" w:lineRule="exact"/>
              <w:rPr>
                <w:rFonts w:ascii="Times New Roman" w:eastAsia="Times New Roman" w:hAnsi="Times New Roman" w:cs="Times New Roman"/>
                <w:sz w:val="20"/>
                <w:szCs w:val="20"/>
              </w:rPr>
            </w:pPr>
          </w:p>
          <w:p w14:paraId="4609BF53" w14:textId="77777777" w:rsidR="00F06066" w:rsidRPr="00F366F0" w:rsidRDefault="00F06066" w:rsidP="00AB2342">
            <w:pPr>
              <w:widowControl w:val="0"/>
              <w:autoSpaceDE w:val="0"/>
              <w:autoSpaceDN w:val="0"/>
              <w:adjustRightInd w:val="0"/>
              <w:spacing w:after="0" w:line="245" w:lineRule="auto"/>
              <w:ind w:left="246" w:right="226"/>
              <w:jc w:val="center"/>
              <w:rPr>
                <w:rFonts w:ascii="Times New Roman" w:eastAsia="Times New Roman" w:hAnsi="Times New Roman" w:cs="Times New Roman"/>
              </w:rPr>
            </w:pPr>
            <w:r w:rsidRPr="00F366F0">
              <w:rPr>
                <w:rFonts w:ascii="Arial" w:eastAsia="Times New Roman" w:hAnsi="Arial" w:cs="Calibri"/>
              </w:rPr>
              <w:t>4.</w:t>
            </w:r>
            <w:r w:rsidRPr="00F366F0">
              <w:rPr>
                <w:rFonts w:ascii="Arial" w:eastAsia="Times New Roman" w:hAnsi="Arial" w:cs="Calibri"/>
                <w:spacing w:val="-3"/>
              </w:rPr>
              <w:t xml:space="preserve"> </w:t>
            </w:r>
            <w:r w:rsidRPr="00F366F0">
              <w:rPr>
                <w:rFonts w:ascii="Arial" w:eastAsia="Times New Roman" w:hAnsi="Arial" w:cs="Calibri"/>
                <w:w w:val="99"/>
              </w:rPr>
              <w:t xml:space="preserve">Major </w:t>
            </w:r>
            <w:r w:rsidRPr="00F366F0">
              <w:rPr>
                <w:rFonts w:ascii="Arial" w:eastAsia="Times New Roman" w:hAnsi="Arial" w:cs="Calibri"/>
              </w:rPr>
              <w:t>Operational</w:t>
            </w:r>
            <w:r w:rsidRPr="00F366F0">
              <w:rPr>
                <w:rFonts w:ascii="Arial" w:eastAsia="Times New Roman" w:hAnsi="Arial" w:cs="Calibri"/>
                <w:spacing w:val="-12"/>
              </w:rPr>
              <w:t xml:space="preserve"> </w:t>
            </w:r>
            <w:r w:rsidRPr="00F366F0">
              <w:rPr>
                <w:rFonts w:ascii="Arial" w:eastAsia="Times New Roman" w:hAnsi="Arial" w:cs="Calibri"/>
                <w:w w:val="99"/>
              </w:rPr>
              <w:t>/ Environm</w:t>
            </w:r>
            <w:r w:rsidRPr="00F366F0">
              <w:rPr>
                <w:rFonts w:ascii="Arial" w:eastAsia="Times New Roman" w:hAnsi="Arial" w:cs="Calibri"/>
                <w:spacing w:val="1"/>
                <w:w w:val="99"/>
              </w:rPr>
              <w:t>e</w:t>
            </w:r>
            <w:r w:rsidRPr="00F366F0">
              <w:rPr>
                <w:rFonts w:ascii="Arial" w:eastAsia="Times New Roman" w:hAnsi="Arial" w:cs="Calibri"/>
                <w:w w:val="99"/>
              </w:rPr>
              <w:t>n</w:t>
            </w:r>
            <w:r w:rsidRPr="00F366F0">
              <w:rPr>
                <w:rFonts w:ascii="Arial" w:eastAsia="Times New Roman" w:hAnsi="Arial" w:cs="Calibri"/>
                <w:spacing w:val="1"/>
                <w:w w:val="99"/>
              </w:rPr>
              <w:t>t</w:t>
            </w:r>
            <w:r w:rsidRPr="00F366F0">
              <w:rPr>
                <w:rFonts w:ascii="Arial" w:eastAsia="Times New Roman" w:hAnsi="Arial" w:cs="Calibri"/>
                <w:w w:val="99"/>
              </w:rPr>
              <w:t>a</w:t>
            </w:r>
            <w:r w:rsidRPr="00F366F0">
              <w:rPr>
                <w:rFonts w:ascii="Arial" w:eastAsia="Times New Roman" w:hAnsi="Arial" w:cs="Calibri"/>
              </w:rPr>
              <w:t>l</w:t>
            </w:r>
          </w:p>
        </w:tc>
      </w:tr>
      <w:tr w:rsidR="005E3AA6" w:rsidRPr="00F366F0" w14:paraId="5227969E" w14:textId="77777777" w:rsidTr="005E3AA6">
        <w:trPr>
          <w:trHeight w:hRule="exact" w:val="1437"/>
        </w:trPr>
        <w:tc>
          <w:tcPr>
            <w:tcW w:w="705" w:type="dxa"/>
            <w:vMerge w:val="restart"/>
            <w:tcBorders>
              <w:top w:val="single" w:sz="24" w:space="0" w:color="1F497C"/>
              <w:left w:val="single" w:sz="24" w:space="0" w:color="1F497C"/>
              <w:bottom w:val="single" w:sz="2" w:space="0" w:color="1F497C"/>
              <w:right w:val="single" w:sz="2" w:space="0" w:color="1F497C"/>
            </w:tcBorders>
            <w:textDirection w:val="btLr"/>
          </w:tcPr>
          <w:p w14:paraId="674C6223" w14:textId="77777777" w:rsidR="00F06066" w:rsidRPr="00F366F0" w:rsidRDefault="00F06066" w:rsidP="00AB2342">
            <w:pPr>
              <w:widowControl w:val="0"/>
              <w:autoSpaceDE w:val="0"/>
              <w:autoSpaceDN w:val="0"/>
              <w:adjustRightInd w:val="0"/>
              <w:spacing w:before="93" w:after="0" w:line="240" w:lineRule="auto"/>
              <w:ind w:left="1131" w:right="-20"/>
              <w:rPr>
                <w:rFonts w:ascii="Times New Roman" w:eastAsia="Times New Roman" w:hAnsi="Times New Roman" w:cs="Times New Roman"/>
              </w:rPr>
            </w:pPr>
            <w:r w:rsidRPr="00F366F0">
              <w:rPr>
                <w:rFonts w:ascii="Arial" w:eastAsia="Times New Roman" w:hAnsi="Arial" w:cs="Calibri"/>
                <w:sz w:val="40"/>
                <w:szCs w:val="40"/>
              </w:rPr>
              <w:t>Compliance</w:t>
            </w:r>
            <w:r w:rsidRPr="00F366F0">
              <w:rPr>
                <w:rFonts w:ascii="Arial" w:eastAsia="Times New Roman" w:hAnsi="Arial" w:cs="Calibri"/>
                <w:spacing w:val="-19"/>
                <w:sz w:val="40"/>
                <w:szCs w:val="40"/>
              </w:rPr>
              <w:t xml:space="preserve"> </w:t>
            </w:r>
            <w:r w:rsidRPr="00F366F0">
              <w:rPr>
                <w:rFonts w:ascii="Arial" w:eastAsia="Times New Roman" w:hAnsi="Arial" w:cs="Calibri"/>
                <w:sz w:val="40"/>
                <w:szCs w:val="40"/>
              </w:rPr>
              <w:t>History</w:t>
            </w:r>
          </w:p>
        </w:tc>
        <w:tc>
          <w:tcPr>
            <w:tcW w:w="2341" w:type="dxa"/>
            <w:tcBorders>
              <w:top w:val="single" w:sz="24" w:space="0" w:color="1F497C"/>
              <w:left w:val="single" w:sz="2" w:space="0" w:color="1F497C"/>
              <w:bottom w:val="single" w:sz="2" w:space="0" w:color="1F497C"/>
              <w:right w:val="single" w:sz="2" w:space="0" w:color="1F497C"/>
            </w:tcBorders>
          </w:tcPr>
          <w:p w14:paraId="785DD4DE" w14:textId="77777777" w:rsidR="00F06066" w:rsidRPr="00F366F0" w:rsidRDefault="00F06066" w:rsidP="00AB2342">
            <w:pPr>
              <w:widowControl w:val="0"/>
              <w:autoSpaceDE w:val="0"/>
              <w:autoSpaceDN w:val="0"/>
              <w:adjustRightInd w:val="0"/>
              <w:spacing w:before="5" w:after="0" w:line="170" w:lineRule="exact"/>
              <w:rPr>
                <w:rFonts w:ascii="Times New Roman" w:eastAsia="Times New Roman" w:hAnsi="Times New Roman" w:cs="Times New Roman"/>
                <w:sz w:val="17"/>
                <w:szCs w:val="17"/>
              </w:rPr>
            </w:pPr>
          </w:p>
          <w:p w14:paraId="42BC4807" w14:textId="77777777" w:rsidR="00F06066" w:rsidRPr="00F366F0" w:rsidRDefault="00F06066" w:rsidP="00AB2342">
            <w:pPr>
              <w:widowControl w:val="0"/>
              <w:autoSpaceDE w:val="0"/>
              <w:autoSpaceDN w:val="0"/>
              <w:adjustRightInd w:val="0"/>
              <w:spacing w:after="0" w:line="268" w:lineRule="exact"/>
              <w:ind w:left="105" w:right="581"/>
              <w:rPr>
                <w:rFonts w:ascii="Times New Roman" w:eastAsia="Times New Roman" w:hAnsi="Times New Roman" w:cs="Times New Roman"/>
              </w:rPr>
            </w:pPr>
            <w:r w:rsidRPr="00F366F0">
              <w:rPr>
                <w:rFonts w:ascii="Arial" w:eastAsia="Times New Roman" w:hAnsi="Arial" w:cs="Calibri"/>
              </w:rPr>
              <w:t>A.</w:t>
            </w:r>
            <w:r w:rsidRPr="00F366F0">
              <w:rPr>
                <w:rFonts w:ascii="Arial" w:eastAsia="Times New Roman" w:hAnsi="Arial" w:cs="Calibri"/>
                <w:spacing w:val="-3"/>
              </w:rPr>
              <w:t xml:space="preserve"> </w:t>
            </w:r>
            <w:r w:rsidRPr="00F366F0">
              <w:rPr>
                <w:rFonts w:ascii="Arial" w:eastAsia="Times New Roman" w:hAnsi="Arial" w:cs="Calibri"/>
              </w:rPr>
              <w:t>No</w:t>
            </w:r>
            <w:r w:rsidRPr="00F366F0">
              <w:rPr>
                <w:rFonts w:ascii="Arial" w:eastAsia="Times New Roman" w:hAnsi="Arial" w:cs="Calibri"/>
                <w:spacing w:val="-2"/>
              </w:rPr>
              <w:t xml:space="preserve"> </w:t>
            </w:r>
            <w:r w:rsidRPr="00F366F0">
              <w:rPr>
                <w:rFonts w:ascii="Arial" w:eastAsia="Times New Roman" w:hAnsi="Arial" w:cs="Calibri"/>
              </w:rPr>
              <w:t>history/good compliance</w:t>
            </w:r>
            <w:r w:rsidRPr="00F366F0">
              <w:rPr>
                <w:rFonts w:ascii="Arial" w:eastAsia="Times New Roman" w:hAnsi="Arial" w:cs="Calibri"/>
                <w:spacing w:val="-9"/>
              </w:rPr>
              <w:t xml:space="preserve"> </w:t>
            </w:r>
            <w:r w:rsidRPr="00F366F0">
              <w:rPr>
                <w:rFonts w:ascii="Arial" w:eastAsia="Times New Roman" w:hAnsi="Arial" w:cs="Calibri"/>
              </w:rPr>
              <w:t>his</w:t>
            </w:r>
            <w:r w:rsidRPr="00F366F0">
              <w:rPr>
                <w:rFonts w:ascii="Arial" w:eastAsia="Times New Roman" w:hAnsi="Arial" w:cs="Calibri"/>
                <w:spacing w:val="-1"/>
              </w:rPr>
              <w:t>t</w:t>
            </w:r>
            <w:r w:rsidRPr="00F366F0">
              <w:rPr>
                <w:rFonts w:ascii="Arial" w:eastAsia="Times New Roman" w:hAnsi="Arial" w:cs="Calibri"/>
              </w:rPr>
              <w:t>ory</w:t>
            </w:r>
          </w:p>
        </w:tc>
        <w:tc>
          <w:tcPr>
            <w:tcW w:w="3334" w:type="dxa"/>
            <w:gridSpan w:val="2"/>
            <w:vMerge w:val="restart"/>
            <w:tcBorders>
              <w:top w:val="single" w:sz="24" w:space="0" w:color="1F497C"/>
              <w:left w:val="single" w:sz="2" w:space="0" w:color="1F497C"/>
              <w:bottom w:val="single" w:sz="2" w:space="0" w:color="F79646"/>
              <w:right w:val="nil"/>
            </w:tcBorders>
            <w:shd w:val="clear" w:color="auto" w:fill="9BBB59"/>
          </w:tcPr>
          <w:p w14:paraId="4C24064A" w14:textId="77777777" w:rsidR="00F06066" w:rsidRPr="00F366F0" w:rsidRDefault="00F06066" w:rsidP="00AB2342">
            <w:pPr>
              <w:widowControl w:val="0"/>
              <w:autoSpaceDE w:val="0"/>
              <w:autoSpaceDN w:val="0"/>
              <w:adjustRightInd w:val="0"/>
              <w:spacing w:before="6" w:after="0" w:line="130" w:lineRule="exact"/>
              <w:rPr>
                <w:rFonts w:ascii="Times New Roman" w:eastAsia="Times New Roman" w:hAnsi="Times New Roman" w:cs="Times New Roman"/>
                <w:sz w:val="13"/>
                <w:szCs w:val="13"/>
              </w:rPr>
            </w:pPr>
          </w:p>
          <w:p w14:paraId="1D12253E" w14:textId="77777777" w:rsidR="00F06066" w:rsidRPr="00F366F0" w:rsidRDefault="00F06066" w:rsidP="00AB2342">
            <w:pPr>
              <w:widowControl w:val="0"/>
              <w:autoSpaceDE w:val="0"/>
              <w:autoSpaceDN w:val="0"/>
              <w:adjustRightInd w:val="0"/>
              <w:spacing w:after="0" w:line="200" w:lineRule="exact"/>
              <w:rPr>
                <w:rFonts w:ascii="Times New Roman" w:eastAsia="Times New Roman" w:hAnsi="Times New Roman" w:cs="Times New Roman"/>
                <w:sz w:val="20"/>
                <w:szCs w:val="20"/>
              </w:rPr>
            </w:pPr>
          </w:p>
          <w:p w14:paraId="5C2B85A0" w14:textId="77777777" w:rsidR="00F06066" w:rsidRPr="00F366F0" w:rsidRDefault="00F06066" w:rsidP="00AB2342">
            <w:pPr>
              <w:widowControl w:val="0"/>
              <w:autoSpaceDE w:val="0"/>
              <w:autoSpaceDN w:val="0"/>
              <w:adjustRightInd w:val="0"/>
              <w:spacing w:after="0" w:line="200" w:lineRule="exact"/>
              <w:rPr>
                <w:rFonts w:ascii="Times New Roman" w:eastAsia="Times New Roman" w:hAnsi="Times New Roman" w:cs="Times New Roman"/>
                <w:sz w:val="20"/>
                <w:szCs w:val="20"/>
              </w:rPr>
            </w:pPr>
          </w:p>
          <w:p w14:paraId="0CB23D9E" w14:textId="77777777" w:rsidR="00F06066" w:rsidRPr="00F366F0" w:rsidRDefault="00F06066" w:rsidP="00AB2342">
            <w:pPr>
              <w:widowControl w:val="0"/>
              <w:autoSpaceDE w:val="0"/>
              <w:autoSpaceDN w:val="0"/>
              <w:adjustRightInd w:val="0"/>
              <w:spacing w:after="0" w:line="200" w:lineRule="exact"/>
              <w:rPr>
                <w:rFonts w:ascii="Times New Roman" w:eastAsia="Times New Roman" w:hAnsi="Times New Roman" w:cs="Times New Roman"/>
                <w:sz w:val="20"/>
                <w:szCs w:val="20"/>
              </w:rPr>
            </w:pPr>
          </w:p>
          <w:p w14:paraId="2CF29EDB" w14:textId="77777777" w:rsidR="00F06066" w:rsidRPr="00F366F0" w:rsidRDefault="00F06066" w:rsidP="00AB2342">
            <w:pPr>
              <w:widowControl w:val="0"/>
              <w:autoSpaceDE w:val="0"/>
              <w:autoSpaceDN w:val="0"/>
              <w:adjustRightInd w:val="0"/>
              <w:spacing w:after="0" w:line="240" w:lineRule="auto"/>
              <w:ind w:left="105" w:right="-20"/>
              <w:rPr>
                <w:rFonts w:ascii="Arial" w:eastAsia="Times New Roman" w:hAnsi="Arial" w:cs="Calibri"/>
                <w:color w:val="FFFFFF"/>
              </w:rPr>
            </w:pPr>
            <w:r w:rsidRPr="00803A4B">
              <w:rPr>
                <w:rFonts w:ascii="Arial" w:eastAsia="Times New Roman" w:hAnsi="Arial" w:cs="Calibri"/>
              </w:rPr>
              <w:t>Compliance</w:t>
            </w:r>
            <w:r w:rsidRPr="00F366F0">
              <w:rPr>
                <w:rFonts w:ascii="Arial" w:eastAsia="Times New Roman" w:hAnsi="Arial" w:cs="Calibri"/>
                <w:color w:val="FFFFFF"/>
                <w:spacing w:val="-9"/>
              </w:rPr>
              <w:t xml:space="preserve"> </w:t>
            </w:r>
            <w:r w:rsidRPr="00803A4B">
              <w:rPr>
                <w:rFonts w:ascii="Arial" w:eastAsia="Times New Roman" w:hAnsi="Arial" w:cs="Calibri"/>
              </w:rPr>
              <w:t>Category</w:t>
            </w:r>
            <w:r w:rsidRPr="00F366F0">
              <w:rPr>
                <w:rFonts w:ascii="Arial" w:eastAsia="Times New Roman" w:hAnsi="Arial" w:cs="Calibri"/>
                <w:color w:val="FFFFFF"/>
                <w:spacing w:val="-8"/>
              </w:rPr>
              <w:t xml:space="preserve"> </w:t>
            </w:r>
            <w:r w:rsidRPr="00803A4B">
              <w:rPr>
                <w:rFonts w:ascii="Arial" w:eastAsia="Times New Roman" w:hAnsi="Arial" w:cs="Calibri"/>
              </w:rPr>
              <w:t>I (Low Risk)</w:t>
            </w:r>
          </w:p>
          <w:p w14:paraId="72C503D5" w14:textId="695FB0D0" w:rsidR="00F06066" w:rsidRPr="00BB6D47" w:rsidRDefault="00F06066" w:rsidP="00AB2342">
            <w:pPr>
              <w:widowControl w:val="0"/>
              <w:autoSpaceDE w:val="0"/>
              <w:autoSpaceDN w:val="0"/>
              <w:adjustRightInd w:val="0"/>
              <w:spacing w:after="0" w:line="240" w:lineRule="auto"/>
              <w:ind w:left="105" w:right="-20"/>
              <w:jc w:val="center"/>
              <w:rPr>
                <w:rFonts w:ascii="Arial" w:eastAsia="Times New Roman" w:hAnsi="Arial" w:cs="Calibri"/>
                <w:b/>
              </w:rPr>
            </w:pPr>
            <w:r w:rsidRPr="00A33EAB">
              <w:rPr>
                <w:rFonts w:ascii="Arial" w:eastAsia="Times New Roman" w:hAnsi="Arial" w:cs="Calibri"/>
                <w:b/>
              </w:rPr>
              <w:t>20</w:t>
            </w:r>
            <w:r w:rsidR="004C4FA0">
              <w:rPr>
                <w:rFonts w:ascii="Arial" w:eastAsia="Times New Roman" w:hAnsi="Arial" w:cs="Calibri"/>
                <w:b/>
              </w:rPr>
              <w:t>20</w:t>
            </w:r>
            <w:r w:rsidRPr="00A33EAB">
              <w:rPr>
                <w:rFonts w:ascii="Arial" w:eastAsia="Times New Roman" w:hAnsi="Arial" w:cs="Calibri"/>
                <w:b/>
              </w:rPr>
              <w:t>-2</w:t>
            </w:r>
            <w:r w:rsidR="004C4FA0">
              <w:rPr>
                <w:rFonts w:ascii="Arial" w:eastAsia="Times New Roman" w:hAnsi="Arial" w:cs="Calibri"/>
                <w:b/>
              </w:rPr>
              <w:t>1</w:t>
            </w:r>
          </w:p>
          <w:p w14:paraId="0B30FF23" w14:textId="21E18D19" w:rsidR="00F06066" w:rsidRPr="00844EC6" w:rsidRDefault="00720C4B" w:rsidP="00AB2342">
            <w:pPr>
              <w:widowControl w:val="0"/>
              <w:autoSpaceDE w:val="0"/>
              <w:autoSpaceDN w:val="0"/>
              <w:adjustRightInd w:val="0"/>
              <w:spacing w:after="0" w:line="240" w:lineRule="auto"/>
              <w:ind w:left="105" w:right="-20"/>
              <w:jc w:val="center"/>
              <w:rPr>
                <w:rFonts w:ascii="Arial" w:eastAsia="Times New Roman" w:hAnsi="Arial" w:cs="Calibri"/>
                <w:b/>
              </w:rPr>
            </w:pPr>
            <w:r>
              <w:rPr>
                <w:rFonts w:ascii="Arial" w:eastAsia="Times New Roman" w:hAnsi="Arial" w:cs="Calibri"/>
                <w:b/>
              </w:rPr>
              <w:t>66</w:t>
            </w:r>
            <w:r w:rsidR="00F06066" w:rsidRPr="00A33EAB">
              <w:rPr>
                <w:rFonts w:ascii="Arial" w:eastAsia="Times New Roman" w:hAnsi="Arial" w:cs="Calibri"/>
                <w:b/>
              </w:rPr>
              <w:t xml:space="preserve"> </w:t>
            </w:r>
            <w:r w:rsidR="00F06066" w:rsidRPr="00BB6D47">
              <w:rPr>
                <w:rFonts w:ascii="Arial" w:eastAsia="Times New Roman" w:hAnsi="Arial" w:cs="Calibri"/>
                <w:b/>
              </w:rPr>
              <w:t>Occurrences</w:t>
            </w:r>
          </w:p>
          <w:p w14:paraId="71B8A5D2" w14:textId="3D7C7159" w:rsidR="00F06066" w:rsidRPr="00F366F0" w:rsidRDefault="00F06066" w:rsidP="00AB2342">
            <w:pPr>
              <w:widowControl w:val="0"/>
              <w:autoSpaceDE w:val="0"/>
              <w:autoSpaceDN w:val="0"/>
              <w:adjustRightInd w:val="0"/>
              <w:spacing w:after="0" w:line="240" w:lineRule="auto"/>
              <w:ind w:left="105" w:right="-20"/>
              <w:jc w:val="center"/>
              <w:rPr>
                <w:rFonts w:ascii="Arial" w:eastAsia="Times New Roman" w:hAnsi="Arial" w:cs="Calibri"/>
                <w:b/>
              </w:rPr>
            </w:pPr>
          </w:p>
          <w:p w14:paraId="53BE6DC3" w14:textId="77777777" w:rsidR="00F06066" w:rsidRPr="00F366F0" w:rsidRDefault="00F06066" w:rsidP="00AB2342">
            <w:pPr>
              <w:widowControl w:val="0"/>
              <w:autoSpaceDE w:val="0"/>
              <w:autoSpaceDN w:val="0"/>
              <w:adjustRightInd w:val="0"/>
              <w:spacing w:after="0" w:line="240" w:lineRule="auto"/>
              <w:ind w:left="105" w:right="-20"/>
              <w:rPr>
                <w:rFonts w:ascii="Times New Roman" w:eastAsia="Times New Roman" w:hAnsi="Times New Roman" w:cs="Times New Roman"/>
              </w:rPr>
            </w:pPr>
          </w:p>
        </w:tc>
        <w:tc>
          <w:tcPr>
            <w:tcW w:w="1843" w:type="dxa"/>
            <w:tcBorders>
              <w:top w:val="single" w:sz="24" w:space="0" w:color="1F497C"/>
              <w:left w:val="nil"/>
              <w:bottom w:val="single" w:sz="2" w:space="0" w:color="F79646"/>
              <w:right w:val="nil"/>
            </w:tcBorders>
            <w:shd w:val="clear" w:color="auto" w:fill="F79646"/>
          </w:tcPr>
          <w:p w14:paraId="4B85B113" w14:textId="77777777" w:rsidR="00F06066" w:rsidRPr="00F366F0" w:rsidRDefault="00F06066" w:rsidP="00AB2342">
            <w:pPr>
              <w:widowControl w:val="0"/>
              <w:autoSpaceDE w:val="0"/>
              <w:autoSpaceDN w:val="0"/>
              <w:adjustRightInd w:val="0"/>
              <w:spacing w:after="0" w:line="240" w:lineRule="auto"/>
              <w:rPr>
                <w:rFonts w:ascii="Times New Roman" w:eastAsia="Times New Roman" w:hAnsi="Times New Roman" w:cs="Times New Roman"/>
              </w:rPr>
            </w:pPr>
          </w:p>
        </w:tc>
        <w:tc>
          <w:tcPr>
            <w:tcW w:w="1842" w:type="dxa"/>
            <w:tcBorders>
              <w:top w:val="single" w:sz="24" w:space="0" w:color="1F497C"/>
              <w:left w:val="nil"/>
              <w:bottom w:val="single" w:sz="2" w:space="0" w:color="C00000"/>
              <w:right w:val="single" w:sz="24" w:space="0" w:color="1F497C"/>
            </w:tcBorders>
            <w:shd w:val="clear" w:color="auto" w:fill="C00000"/>
          </w:tcPr>
          <w:p w14:paraId="62E6FA92" w14:textId="77777777" w:rsidR="00F06066" w:rsidRPr="00F366F0" w:rsidRDefault="00F06066" w:rsidP="00AB2342">
            <w:pPr>
              <w:widowControl w:val="0"/>
              <w:autoSpaceDE w:val="0"/>
              <w:autoSpaceDN w:val="0"/>
              <w:adjustRightInd w:val="0"/>
              <w:spacing w:after="0" w:line="240" w:lineRule="auto"/>
              <w:rPr>
                <w:rFonts w:ascii="Times New Roman" w:eastAsia="Times New Roman" w:hAnsi="Times New Roman" w:cs="Times New Roman"/>
              </w:rPr>
            </w:pPr>
          </w:p>
        </w:tc>
      </w:tr>
      <w:tr w:rsidR="005E3AA6" w:rsidRPr="00F366F0" w14:paraId="102DE7A6" w14:textId="77777777" w:rsidTr="005E3AA6">
        <w:trPr>
          <w:trHeight w:hRule="exact" w:val="897"/>
        </w:trPr>
        <w:tc>
          <w:tcPr>
            <w:tcW w:w="705" w:type="dxa"/>
            <w:vMerge/>
            <w:tcBorders>
              <w:top w:val="single" w:sz="24" w:space="0" w:color="1F497C"/>
              <w:left w:val="single" w:sz="24" w:space="0" w:color="1F497C"/>
              <w:bottom w:val="single" w:sz="2" w:space="0" w:color="1F497C"/>
              <w:right w:val="single" w:sz="2" w:space="0" w:color="1F497C"/>
            </w:tcBorders>
            <w:textDirection w:val="btLr"/>
          </w:tcPr>
          <w:p w14:paraId="53CA1499" w14:textId="77777777" w:rsidR="00F06066" w:rsidRPr="00F366F0" w:rsidRDefault="00F06066" w:rsidP="00AB2342">
            <w:pPr>
              <w:widowControl w:val="0"/>
              <w:autoSpaceDE w:val="0"/>
              <w:autoSpaceDN w:val="0"/>
              <w:adjustRightInd w:val="0"/>
              <w:spacing w:after="0" w:line="240" w:lineRule="auto"/>
              <w:rPr>
                <w:rFonts w:ascii="Times New Roman" w:eastAsia="Times New Roman" w:hAnsi="Times New Roman" w:cs="Times New Roman"/>
              </w:rPr>
            </w:pPr>
          </w:p>
        </w:tc>
        <w:tc>
          <w:tcPr>
            <w:tcW w:w="2341" w:type="dxa"/>
            <w:tcBorders>
              <w:top w:val="single" w:sz="2" w:space="0" w:color="1F497C"/>
              <w:left w:val="single" w:sz="2" w:space="0" w:color="1F497C"/>
              <w:bottom w:val="single" w:sz="2" w:space="0" w:color="1F497C"/>
              <w:right w:val="single" w:sz="2" w:space="0" w:color="1F497C"/>
            </w:tcBorders>
          </w:tcPr>
          <w:p w14:paraId="0A850C53" w14:textId="77777777" w:rsidR="00F06066" w:rsidRPr="00F366F0" w:rsidRDefault="00F06066" w:rsidP="00AB2342">
            <w:pPr>
              <w:widowControl w:val="0"/>
              <w:autoSpaceDE w:val="0"/>
              <w:autoSpaceDN w:val="0"/>
              <w:adjustRightInd w:val="0"/>
              <w:spacing w:before="10" w:after="0" w:line="170" w:lineRule="exact"/>
              <w:rPr>
                <w:rFonts w:ascii="Times New Roman" w:eastAsia="Times New Roman" w:hAnsi="Times New Roman" w:cs="Times New Roman"/>
                <w:sz w:val="17"/>
                <w:szCs w:val="17"/>
              </w:rPr>
            </w:pPr>
          </w:p>
          <w:p w14:paraId="2D367E5B" w14:textId="77777777" w:rsidR="00F06066" w:rsidRPr="00F366F0" w:rsidRDefault="00F06066" w:rsidP="00AB2342">
            <w:pPr>
              <w:widowControl w:val="0"/>
              <w:autoSpaceDE w:val="0"/>
              <w:autoSpaceDN w:val="0"/>
              <w:adjustRightInd w:val="0"/>
              <w:spacing w:after="0" w:line="240" w:lineRule="auto"/>
              <w:ind w:left="105" w:right="-20"/>
              <w:rPr>
                <w:rFonts w:ascii="Arial" w:eastAsia="Times New Roman" w:hAnsi="Arial" w:cs="Calibri"/>
              </w:rPr>
            </w:pPr>
            <w:r w:rsidRPr="00F366F0">
              <w:rPr>
                <w:rFonts w:ascii="Arial" w:eastAsia="Times New Roman" w:hAnsi="Arial" w:cs="Calibri"/>
                <w:spacing w:val="1"/>
              </w:rPr>
              <w:t>B</w:t>
            </w:r>
            <w:r w:rsidRPr="00F366F0">
              <w:rPr>
                <w:rFonts w:ascii="Arial" w:eastAsia="Times New Roman" w:hAnsi="Arial" w:cs="Calibri"/>
              </w:rPr>
              <w:t>.</w:t>
            </w:r>
            <w:r w:rsidRPr="00F366F0">
              <w:rPr>
                <w:rFonts w:ascii="Arial" w:eastAsia="Times New Roman" w:hAnsi="Arial" w:cs="Calibri"/>
                <w:spacing w:val="-3"/>
              </w:rPr>
              <w:t xml:space="preserve"> </w:t>
            </w:r>
            <w:r w:rsidRPr="00F366F0">
              <w:rPr>
                <w:rFonts w:ascii="Arial" w:eastAsia="Times New Roman" w:hAnsi="Arial" w:cs="Calibri"/>
              </w:rPr>
              <w:t>Previous</w:t>
            </w:r>
            <w:r w:rsidRPr="00F366F0">
              <w:rPr>
                <w:rFonts w:ascii="Arial" w:eastAsia="Times New Roman" w:hAnsi="Arial" w:cs="Calibri"/>
                <w:spacing w:val="-8"/>
              </w:rPr>
              <w:t xml:space="preserve"> </w:t>
            </w:r>
            <w:r w:rsidRPr="00F366F0">
              <w:rPr>
                <w:rFonts w:ascii="Arial" w:eastAsia="Times New Roman" w:hAnsi="Arial" w:cs="Calibri"/>
              </w:rPr>
              <w:t>Minor</w:t>
            </w:r>
          </w:p>
          <w:p w14:paraId="1E9A375C" w14:textId="77777777" w:rsidR="00F06066" w:rsidRPr="00F366F0" w:rsidRDefault="00F06066" w:rsidP="00AB2342">
            <w:pPr>
              <w:widowControl w:val="0"/>
              <w:autoSpaceDE w:val="0"/>
              <w:autoSpaceDN w:val="0"/>
              <w:adjustRightInd w:val="0"/>
              <w:spacing w:after="0" w:line="268" w:lineRule="exact"/>
              <w:ind w:left="105" w:right="-20"/>
              <w:rPr>
                <w:rFonts w:ascii="Times New Roman" w:eastAsia="Times New Roman" w:hAnsi="Times New Roman" w:cs="Times New Roman"/>
              </w:rPr>
            </w:pPr>
            <w:r w:rsidRPr="00F366F0">
              <w:rPr>
                <w:rFonts w:ascii="Arial" w:eastAsia="Times New Roman" w:hAnsi="Arial" w:cs="Calibri"/>
                <w:position w:val="1"/>
              </w:rPr>
              <w:t>Violation(s)</w:t>
            </w:r>
          </w:p>
        </w:tc>
        <w:tc>
          <w:tcPr>
            <w:tcW w:w="3334" w:type="dxa"/>
            <w:gridSpan w:val="2"/>
            <w:vMerge/>
            <w:tcBorders>
              <w:top w:val="single" w:sz="24" w:space="0" w:color="1F497C"/>
              <w:left w:val="single" w:sz="2" w:space="0" w:color="1F497C"/>
              <w:bottom w:val="single" w:sz="2" w:space="0" w:color="F79646"/>
              <w:right w:val="nil"/>
            </w:tcBorders>
            <w:shd w:val="clear" w:color="auto" w:fill="9BBB59"/>
          </w:tcPr>
          <w:p w14:paraId="1D4A9725" w14:textId="77777777" w:rsidR="00F06066" w:rsidRPr="00F366F0" w:rsidRDefault="00F06066" w:rsidP="00AB2342">
            <w:pPr>
              <w:widowControl w:val="0"/>
              <w:autoSpaceDE w:val="0"/>
              <w:autoSpaceDN w:val="0"/>
              <w:adjustRightInd w:val="0"/>
              <w:spacing w:after="0" w:line="268" w:lineRule="exact"/>
              <w:ind w:left="105" w:right="-20"/>
              <w:rPr>
                <w:rFonts w:ascii="Times New Roman" w:eastAsia="Times New Roman" w:hAnsi="Times New Roman" w:cs="Times New Roman"/>
              </w:rPr>
            </w:pPr>
          </w:p>
        </w:tc>
        <w:tc>
          <w:tcPr>
            <w:tcW w:w="1843" w:type="dxa"/>
            <w:tcBorders>
              <w:top w:val="single" w:sz="2" w:space="0" w:color="F79646"/>
              <w:left w:val="nil"/>
              <w:bottom w:val="single" w:sz="2" w:space="0" w:color="F79646"/>
              <w:right w:val="nil"/>
            </w:tcBorders>
            <w:shd w:val="clear" w:color="auto" w:fill="F79646"/>
          </w:tcPr>
          <w:p w14:paraId="51952E4C" w14:textId="77777777" w:rsidR="00F06066" w:rsidRPr="00F366F0" w:rsidRDefault="00F06066" w:rsidP="00AB2342">
            <w:pPr>
              <w:widowControl w:val="0"/>
              <w:autoSpaceDE w:val="0"/>
              <w:autoSpaceDN w:val="0"/>
              <w:adjustRightInd w:val="0"/>
              <w:spacing w:after="0" w:line="240" w:lineRule="auto"/>
              <w:rPr>
                <w:rFonts w:ascii="Times New Roman" w:eastAsia="Times New Roman" w:hAnsi="Times New Roman" w:cs="Times New Roman"/>
              </w:rPr>
            </w:pPr>
          </w:p>
        </w:tc>
        <w:tc>
          <w:tcPr>
            <w:tcW w:w="1842" w:type="dxa"/>
            <w:tcBorders>
              <w:top w:val="single" w:sz="2" w:space="0" w:color="C00000"/>
              <w:left w:val="nil"/>
              <w:bottom w:val="single" w:sz="2" w:space="0" w:color="C00000"/>
              <w:right w:val="single" w:sz="24" w:space="0" w:color="1F497C"/>
            </w:tcBorders>
            <w:shd w:val="clear" w:color="auto" w:fill="C00000"/>
          </w:tcPr>
          <w:p w14:paraId="631DFADD" w14:textId="77777777" w:rsidR="00F06066" w:rsidRPr="00F366F0" w:rsidRDefault="00F06066" w:rsidP="00AB2342">
            <w:pPr>
              <w:widowControl w:val="0"/>
              <w:autoSpaceDE w:val="0"/>
              <w:autoSpaceDN w:val="0"/>
              <w:adjustRightInd w:val="0"/>
              <w:spacing w:after="0" w:line="240" w:lineRule="auto"/>
              <w:rPr>
                <w:rFonts w:ascii="Times New Roman" w:eastAsia="Times New Roman" w:hAnsi="Times New Roman" w:cs="Times New Roman"/>
              </w:rPr>
            </w:pPr>
          </w:p>
        </w:tc>
      </w:tr>
      <w:tr w:rsidR="00F06066" w:rsidRPr="00F366F0" w14:paraId="00EA5AA1" w14:textId="77777777" w:rsidTr="00496BC1">
        <w:trPr>
          <w:trHeight w:hRule="exact" w:val="987"/>
        </w:trPr>
        <w:tc>
          <w:tcPr>
            <w:tcW w:w="705" w:type="dxa"/>
            <w:vMerge/>
            <w:tcBorders>
              <w:top w:val="single" w:sz="24" w:space="0" w:color="1F497C"/>
              <w:left w:val="single" w:sz="24" w:space="0" w:color="1F497C"/>
              <w:bottom w:val="single" w:sz="2" w:space="0" w:color="1F497C"/>
              <w:right w:val="single" w:sz="2" w:space="0" w:color="1F497C"/>
            </w:tcBorders>
            <w:textDirection w:val="btLr"/>
          </w:tcPr>
          <w:p w14:paraId="4C1C8C58" w14:textId="77777777" w:rsidR="00F06066" w:rsidRPr="00F366F0" w:rsidRDefault="00F06066" w:rsidP="00AB2342">
            <w:pPr>
              <w:widowControl w:val="0"/>
              <w:autoSpaceDE w:val="0"/>
              <w:autoSpaceDN w:val="0"/>
              <w:adjustRightInd w:val="0"/>
              <w:spacing w:after="0" w:line="240" w:lineRule="auto"/>
              <w:rPr>
                <w:rFonts w:ascii="Times New Roman" w:eastAsia="Times New Roman" w:hAnsi="Times New Roman" w:cs="Times New Roman"/>
              </w:rPr>
            </w:pPr>
          </w:p>
        </w:tc>
        <w:tc>
          <w:tcPr>
            <w:tcW w:w="2341" w:type="dxa"/>
            <w:tcBorders>
              <w:top w:val="single" w:sz="2" w:space="0" w:color="1F497C"/>
              <w:left w:val="single" w:sz="2" w:space="0" w:color="1F497C"/>
              <w:bottom w:val="single" w:sz="2" w:space="0" w:color="1F497C"/>
              <w:right w:val="single" w:sz="2" w:space="0" w:color="1F497C"/>
            </w:tcBorders>
          </w:tcPr>
          <w:p w14:paraId="7E40D8EB" w14:textId="77777777" w:rsidR="00F06066" w:rsidRPr="00F366F0" w:rsidRDefault="00F06066" w:rsidP="00AB2342">
            <w:pPr>
              <w:widowControl w:val="0"/>
              <w:autoSpaceDE w:val="0"/>
              <w:autoSpaceDN w:val="0"/>
              <w:adjustRightInd w:val="0"/>
              <w:spacing w:before="10" w:after="0" w:line="170" w:lineRule="exact"/>
              <w:rPr>
                <w:rFonts w:ascii="Times New Roman" w:eastAsia="Times New Roman" w:hAnsi="Times New Roman" w:cs="Times New Roman"/>
                <w:sz w:val="17"/>
                <w:szCs w:val="17"/>
              </w:rPr>
            </w:pPr>
          </w:p>
          <w:p w14:paraId="18CE9E1E" w14:textId="77777777" w:rsidR="00F06066" w:rsidRPr="00F366F0" w:rsidRDefault="00F06066" w:rsidP="00AB2342">
            <w:pPr>
              <w:widowControl w:val="0"/>
              <w:autoSpaceDE w:val="0"/>
              <w:autoSpaceDN w:val="0"/>
              <w:adjustRightInd w:val="0"/>
              <w:spacing w:after="0" w:line="240" w:lineRule="auto"/>
              <w:ind w:left="105" w:right="-20"/>
              <w:rPr>
                <w:rFonts w:ascii="Arial" w:eastAsia="Times New Roman" w:hAnsi="Arial" w:cs="Calibri"/>
              </w:rPr>
            </w:pPr>
            <w:r w:rsidRPr="00F366F0">
              <w:rPr>
                <w:rFonts w:ascii="Arial" w:eastAsia="Times New Roman" w:hAnsi="Arial" w:cs="Calibri"/>
                <w:spacing w:val="1"/>
              </w:rPr>
              <w:t>C</w:t>
            </w:r>
            <w:r w:rsidRPr="00F366F0">
              <w:rPr>
                <w:rFonts w:ascii="Arial" w:eastAsia="Times New Roman" w:hAnsi="Arial" w:cs="Calibri"/>
              </w:rPr>
              <w:t>.</w:t>
            </w:r>
            <w:r w:rsidRPr="00F366F0">
              <w:rPr>
                <w:rFonts w:ascii="Arial" w:eastAsia="Times New Roman" w:hAnsi="Arial" w:cs="Calibri"/>
                <w:spacing w:val="-3"/>
              </w:rPr>
              <w:t xml:space="preserve"> </w:t>
            </w:r>
            <w:r w:rsidRPr="00F366F0">
              <w:rPr>
                <w:rFonts w:ascii="Arial" w:eastAsia="Times New Roman" w:hAnsi="Arial" w:cs="Calibri"/>
              </w:rPr>
              <w:t>Previous</w:t>
            </w:r>
            <w:r w:rsidRPr="00F366F0">
              <w:rPr>
                <w:rFonts w:ascii="Arial" w:eastAsia="Times New Roman" w:hAnsi="Arial" w:cs="Calibri"/>
                <w:spacing w:val="-8"/>
              </w:rPr>
              <w:t xml:space="preserve"> </w:t>
            </w:r>
            <w:r w:rsidRPr="00F366F0">
              <w:rPr>
                <w:rFonts w:ascii="Arial" w:eastAsia="Times New Roman" w:hAnsi="Arial" w:cs="Calibri"/>
                <w:spacing w:val="1"/>
              </w:rPr>
              <w:t>R</w:t>
            </w:r>
            <w:r w:rsidRPr="00F366F0">
              <w:rPr>
                <w:rFonts w:ascii="Arial" w:eastAsia="Times New Roman" w:hAnsi="Arial" w:cs="Calibri"/>
              </w:rPr>
              <w:t>epet</w:t>
            </w:r>
            <w:r w:rsidRPr="00F366F0">
              <w:rPr>
                <w:rFonts w:ascii="Arial" w:eastAsia="Times New Roman" w:hAnsi="Arial" w:cs="Calibri"/>
                <w:spacing w:val="1"/>
              </w:rPr>
              <w:t>i</w:t>
            </w:r>
            <w:r w:rsidRPr="00F366F0">
              <w:rPr>
                <w:rFonts w:ascii="Arial" w:eastAsia="Times New Roman" w:hAnsi="Arial" w:cs="Calibri"/>
              </w:rPr>
              <w:t>tive</w:t>
            </w:r>
          </w:p>
          <w:p w14:paraId="4994AA5B" w14:textId="77777777" w:rsidR="00F06066" w:rsidRPr="00F366F0" w:rsidRDefault="00F06066" w:rsidP="00AB2342">
            <w:pPr>
              <w:widowControl w:val="0"/>
              <w:autoSpaceDE w:val="0"/>
              <w:autoSpaceDN w:val="0"/>
              <w:adjustRightInd w:val="0"/>
              <w:spacing w:after="0" w:line="240" w:lineRule="auto"/>
              <w:ind w:left="104" w:right="-20"/>
              <w:rPr>
                <w:rFonts w:ascii="Times New Roman" w:eastAsia="Times New Roman" w:hAnsi="Times New Roman" w:cs="Times New Roman"/>
              </w:rPr>
            </w:pPr>
            <w:r w:rsidRPr="00F366F0">
              <w:rPr>
                <w:rFonts w:ascii="Arial" w:eastAsia="Times New Roman" w:hAnsi="Arial" w:cs="Calibri"/>
              </w:rPr>
              <w:t>Violations</w:t>
            </w:r>
          </w:p>
        </w:tc>
        <w:tc>
          <w:tcPr>
            <w:tcW w:w="5177" w:type="dxa"/>
            <w:gridSpan w:val="3"/>
            <w:vMerge w:val="restart"/>
            <w:tcBorders>
              <w:top w:val="single" w:sz="2" w:space="0" w:color="F79646"/>
              <w:left w:val="single" w:sz="2" w:space="0" w:color="1F497C"/>
              <w:bottom w:val="single" w:sz="2" w:space="0" w:color="C00000"/>
              <w:right w:val="nil"/>
            </w:tcBorders>
            <w:shd w:val="clear" w:color="auto" w:fill="F79646"/>
          </w:tcPr>
          <w:p w14:paraId="67584D82" w14:textId="77777777" w:rsidR="00F06066" w:rsidRPr="00F366F0" w:rsidRDefault="00F06066" w:rsidP="00AB2342">
            <w:pPr>
              <w:widowControl w:val="0"/>
              <w:autoSpaceDE w:val="0"/>
              <w:autoSpaceDN w:val="0"/>
              <w:adjustRightInd w:val="0"/>
              <w:spacing w:before="4" w:after="0" w:line="160" w:lineRule="exact"/>
              <w:rPr>
                <w:rFonts w:ascii="Times New Roman" w:eastAsia="Times New Roman" w:hAnsi="Times New Roman" w:cs="Times New Roman"/>
                <w:sz w:val="16"/>
                <w:szCs w:val="16"/>
              </w:rPr>
            </w:pPr>
          </w:p>
          <w:p w14:paraId="41A25602" w14:textId="77777777" w:rsidR="00F06066" w:rsidRPr="00F366F0" w:rsidRDefault="00F06066" w:rsidP="00AB2342">
            <w:pPr>
              <w:widowControl w:val="0"/>
              <w:autoSpaceDE w:val="0"/>
              <w:autoSpaceDN w:val="0"/>
              <w:adjustRightInd w:val="0"/>
              <w:spacing w:after="0" w:line="200" w:lineRule="exact"/>
              <w:rPr>
                <w:rFonts w:ascii="Times New Roman" w:eastAsia="Times New Roman" w:hAnsi="Times New Roman" w:cs="Times New Roman"/>
                <w:sz w:val="20"/>
                <w:szCs w:val="20"/>
              </w:rPr>
            </w:pPr>
          </w:p>
          <w:p w14:paraId="0BCA6625" w14:textId="77777777" w:rsidR="00F06066" w:rsidRPr="00F366F0" w:rsidRDefault="00F06066" w:rsidP="00AB2342">
            <w:pPr>
              <w:widowControl w:val="0"/>
              <w:autoSpaceDE w:val="0"/>
              <w:autoSpaceDN w:val="0"/>
              <w:adjustRightInd w:val="0"/>
              <w:spacing w:after="0" w:line="240" w:lineRule="auto"/>
              <w:ind w:right="-20"/>
              <w:rPr>
                <w:rFonts w:ascii="Arial" w:eastAsia="Times New Roman" w:hAnsi="Arial" w:cs="Calibri"/>
                <w:color w:val="FFFFFF"/>
              </w:rPr>
            </w:pPr>
            <w:r w:rsidRPr="00F366F0">
              <w:rPr>
                <w:rFonts w:ascii="Times New Roman" w:eastAsia="Times New Roman" w:hAnsi="Times New Roman" w:cs="Times New Roman"/>
                <w:sz w:val="20"/>
                <w:szCs w:val="20"/>
              </w:rPr>
              <w:t xml:space="preserve"> </w:t>
            </w:r>
            <w:r w:rsidRPr="00803A4B">
              <w:rPr>
                <w:rFonts w:ascii="Arial" w:eastAsia="Times New Roman" w:hAnsi="Arial" w:cs="Calibri"/>
              </w:rPr>
              <w:t>Compliance</w:t>
            </w:r>
            <w:r w:rsidRPr="00F366F0">
              <w:rPr>
                <w:rFonts w:ascii="Arial" w:eastAsia="Times New Roman" w:hAnsi="Arial" w:cs="Calibri"/>
                <w:color w:val="FFFFFF"/>
                <w:spacing w:val="-9"/>
              </w:rPr>
              <w:t xml:space="preserve"> </w:t>
            </w:r>
            <w:r w:rsidRPr="00803A4B">
              <w:rPr>
                <w:rFonts w:ascii="Arial" w:eastAsia="Times New Roman" w:hAnsi="Arial" w:cs="Calibri"/>
              </w:rPr>
              <w:t>Category</w:t>
            </w:r>
            <w:r w:rsidRPr="00F366F0">
              <w:rPr>
                <w:rFonts w:ascii="Arial" w:eastAsia="Times New Roman" w:hAnsi="Arial" w:cs="Calibri"/>
                <w:color w:val="FFFFFF"/>
                <w:spacing w:val="-8"/>
              </w:rPr>
              <w:t xml:space="preserve"> </w:t>
            </w:r>
            <w:r w:rsidRPr="00803A4B">
              <w:rPr>
                <w:rFonts w:ascii="Arial" w:eastAsia="Times New Roman" w:hAnsi="Arial" w:cs="Calibri"/>
              </w:rPr>
              <w:t>II (Medium Risk)</w:t>
            </w:r>
          </w:p>
          <w:p w14:paraId="6EBD3DA1" w14:textId="77777777" w:rsidR="00F06066" w:rsidRPr="00F366F0" w:rsidRDefault="00F06066" w:rsidP="00AB2342">
            <w:pPr>
              <w:widowControl w:val="0"/>
              <w:autoSpaceDE w:val="0"/>
              <w:autoSpaceDN w:val="0"/>
              <w:adjustRightInd w:val="0"/>
              <w:spacing w:after="0" w:line="240" w:lineRule="auto"/>
              <w:ind w:left="105" w:right="-20"/>
              <w:rPr>
                <w:rFonts w:ascii="Arial" w:eastAsia="Times New Roman" w:hAnsi="Arial" w:cs="Calibri"/>
              </w:rPr>
            </w:pPr>
          </w:p>
          <w:p w14:paraId="6CF23F6C" w14:textId="344029A6" w:rsidR="00F06066" w:rsidRPr="00BB6D47" w:rsidRDefault="00F06066" w:rsidP="00AB2342">
            <w:pPr>
              <w:widowControl w:val="0"/>
              <w:autoSpaceDE w:val="0"/>
              <w:autoSpaceDN w:val="0"/>
              <w:adjustRightInd w:val="0"/>
              <w:spacing w:after="0" w:line="240" w:lineRule="auto"/>
              <w:ind w:left="105" w:right="-20"/>
              <w:jc w:val="center"/>
              <w:rPr>
                <w:rFonts w:ascii="Arial" w:eastAsia="Times New Roman" w:hAnsi="Arial" w:cs="Calibri"/>
                <w:b/>
              </w:rPr>
            </w:pPr>
            <w:r w:rsidRPr="00A33EAB">
              <w:rPr>
                <w:rFonts w:ascii="Arial" w:eastAsia="Times New Roman" w:hAnsi="Arial" w:cs="Calibri"/>
                <w:b/>
              </w:rPr>
              <w:t>20</w:t>
            </w:r>
            <w:r w:rsidR="00720C4B">
              <w:rPr>
                <w:rFonts w:ascii="Arial" w:eastAsia="Times New Roman" w:hAnsi="Arial" w:cs="Calibri"/>
                <w:b/>
              </w:rPr>
              <w:t>20</w:t>
            </w:r>
            <w:r w:rsidRPr="00A33EAB">
              <w:rPr>
                <w:rFonts w:ascii="Arial" w:eastAsia="Times New Roman" w:hAnsi="Arial" w:cs="Calibri"/>
                <w:b/>
              </w:rPr>
              <w:t>-2</w:t>
            </w:r>
            <w:r w:rsidR="00720C4B">
              <w:rPr>
                <w:rFonts w:ascii="Arial" w:eastAsia="Times New Roman" w:hAnsi="Arial" w:cs="Calibri"/>
                <w:b/>
              </w:rPr>
              <w:t>1</w:t>
            </w:r>
          </w:p>
          <w:p w14:paraId="24780ED8" w14:textId="75BD7EE3" w:rsidR="00F06066" w:rsidRPr="00844EC6" w:rsidRDefault="00720C4B" w:rsidP="00AB2342">
            <w:pPr>
              <w:widowControl w:val="0"/>
              <w:autoSpaceDE w:val="0"/>
              <w:autoSpaceDN w:val="0"/>
              <w:adjustRightInd w:val="0"/>
              <w:spacing w:after="0" w:line="240" w:lineRule="auto"/>
              <w:ind w:left="105" w:right="-20"/>
              <w:jc w:val="center"/>
              <w:rPr>
                <w:rFonts w:ascii="Arial" w:eastAsia="Times New Roman" w:hAnsi="Arial" w:cs="Calibri"/>
                <w:b/>
              </w:rPr>
            </w:pPr>
            <w:r>
              <w:rPr>
                <w:rFonts w:ascii="Arial" w:eastAsia="Times New Roman" w:hAnsi="Arial" w:cs="Calibri"/>
                <w:b/>
              </w:rPr>
              <w:t>99</w:t>
            </w:r>
            <w:r w:rsidR="00F06066" w:rsidRPr="00A33EAB">
              <w:rPr>
                <w:rFonts w:ascii="Arial" w:eastAsia="Times New Roman" w:hAnsi="Arial" w:cs="Calibri"/>
                <w:b/>
              </w:rPr>
              <w:t xml:space="preserve"> </w:t>
            </w:r>
            <w:r w:rsidR="00F06066" w:rsidRPr="00BB6D47">
              <w:rPr>
                <w:rFonts w:ascii="Arial" w:eastAsia="Times New Roman" w:hAnsi="Arial" w:cs="Calibri"/>
                <w:b/>
              </w:rPr>
              <w:t>Occurrences</w:t>
            </w:r>
          </w:p>
          <w:p w14:paraId="6216BBEE" w14:textId="77777777" w:rsidR="00F06066" w:rsidRPr="00F366F0" w:rsidRDefault="00F06066" w:rsidP="00720C4B">
            <w:pPr>
              <w:widowControl w:val="0"/>
              <w:autoSpaceDE w:val="0"/>
              <w:autoSpaceDN w:val="0"/>
              <w:adjustRightInd w:val="0"/>
              <w:spacing w:after="0" w:line="240" w:lineRule="auto"/>
              <w:ind w:left="105" w:right="-20"/>
              <w:jc w:val="center"/>
              <w:rPr>
                <w:rFonts w:ascii="Times New Roman" w:eastAsia="Times New Roman" w:hAnsi="Times New Roman" w:cs="Times New Roman"/>
              </w:rPr>
            </w:pPr>
          </w:p>
        </w:tc>
        <w:tc>
          <w:tcPr>
            <w:tcW w:w="1842" w:type="dxa"/>
            <w:tcBorders>
              <w:top w:val="single" w:sz="2" w:space="0" w:color="C00000"/>
              <w:left w:val="nil"/>
              <w:bottom w:val="single" w:sz="2" w:space="0" w:color="C00000"/>
              <w:right w:val="single" w:sz="24" w:space="0" w:color="1F497C"/>
            </w:tcBorders>
            <w:shd w:val="clear" w:color="auto" w:fill="C00000"/>
          </w:tcPr>
          <w:p w14:paraId="1D3477F3" w14:textId="77777777" w:rsidR="00F06066" w:rsidRPr="00F366F0" w:rsidRDefault="00F06066" w:rsidP="00AB2342">
            <w:pPr>
              <w:widowControl w:val="0"/>
              <w:autoSpaceDE w:val="0"/>
              <w:autoSpaceDN w:val="0"/>
              <w:adjustRightInd w:val="0"/>
              <w:spacing w:after="0" w:line="240" w:lineRule="auto"/>
              <w:rPr>
                <w:rFonts w:ascii="Times New Roman" w:eastAsia="Times New Roman" w:hAnsi="Times New Roman" w:cs="Times New Roman"/>
              </w:rPr>
            </w:pPr>
          </w:p>
        </w:tc>
      </w:tr>
      <w:tr w:rsidR="00F06066" w:rsidRPr="00F366F0" w14:paraId="10BD15DA" w14:textId="77777777" w:rsidTr="00496BC1">
        <w:trPr>
          <w:trHeight w:hRule="exact" w:val="1086"/>
        </w:trPr>
        <w:tc>
          <w:tcPr>
            <w:tcW w:w="705" w:type="dxa"/>
            <w:vMerge/>
            <w:tcBorders>
              <w:top w:val="single" w:sz="24" w:space="0" w:color="1F497C"/>
              <w:left w:val="single" w:sz="24" w:space="0" w:color="1F497C"/>
              <w:bottom w:val="single" w:sz="2" w:space="0" w:color="1F497C"/>
              <w:right w:val="single" w:sz="2" w:space="0" w:color="1F497C"/>
            </w:tcBorders>
            <w:textDirection w:val="btLr"/>
          </w:tcPr>
          <w:p w14:paraId="39A3928D" w14:textId="77777777" w:rsidR="00F06066" w:rsidRPr="00F366F0" w:rsidRDefault="00F06066" w:rsidP="00AB2342">
            <w:pPr>
              <w:widowControl w:val="0"/>
              <w:autoSpaceDE w:val="0"/>
              <w:autoSpaceDN w:val="0"/>
              <w:adjustRightInd w:val="0"/>
              <w:spacing w:after="0" w:line="240" w:lineRule="auto"/>
              <w:rPr>
                <w:rFonts w:ascii="Times New Roman" w:eastAsia="Times New Roman" w:hAnsi="Times New Roman" w:cs="Times New Roman"/>
              </w:rPr>
            </w:pPr>
          </w:p>
        </w:tc>
        <w:tc>
          <w:tcPr>
            <w:tcW w:w="2341" w:type="dxa"/>
            <w:tcBorders>
              <w:top w:val="single" w:sz="2" w:space="0" w:color="1F497C"/>
              <w:left w:val="single" w:sz="2" w:space="0" w:color="1F497C"/>
              <w:bottom w:val="single" w:sz="2" w:space="0" w:color="1F497C"/>
              <w:right w:val="single" w:sz="2" w:space="0" w:color="1F497C"/>
            </w:tcBorders>
          </w:tcPr>
          <w:p w14:paraId="533A10AD" w14:textId="77777777" w:rsidR="00F06066" w:rsidRPr="00F366F0" w:rsidRDefault="00F06066" w:rsidP="00AB2342">
            <w:pPr>
              <w:widowControl w:val="0"/>
              <w:autoSpaceDE w:val="0"/>
              <w:autoSpaceDN w:val="0"/>
              <w:adjustRightInd w:val="0"/>
              <w:spacing w:before="10" w:after="0" w:line="170" w:lineRule="exact"/>
              <w:rPr>
                <w:rFonts w:ascii="Times New Roman" w:eastAsia="Times New Roman" w:hAnsi="Times New Roman" w:cs="Times New Roman"/>
                <w:sz w:val="17"/>
                <w:szCs w:val="17"/>
              </w:rPr>
            </w:pPr>
          </w:p>
          <w:p w14:paraId="759E9FE6" w14:textId="77777777" w:rsidR="00F06066" w:rsidRPr="00F366F0" w:rsidRDefault="00F06066" w:rsidP="00AB2342">
            <w:pPr>
              <w:widowControl w:val="0"/>
              <w:autoSpaceDE w:val="0"/>
              <w:autoSpaceDN w:val="0"/>
              <w:adjustRightInd w:val="0"/>
              <w:spacing w:after="0" w:line="240" w:lineRule="auto"/>
              <w:ind w:left="105" w:right="470"/>
              <w:rPr>
                <w:rFonts w:ascii="Times New Roman" w:eastAsia="Times New Roman" w:hAnsi="Times New Roman" w:cs="Times New Roman"/>
              </w:rPr>
            </w:pPr>
            <w:r w:rsidRPr="00F366F0">
              <w:rPr>
                <w:rFonts w:ascii="Arial" w:eastAsia="Times New Roman" w:hAnsi="Arial" w:cs="Calibri"/>
                <w:spacing w:val="1"/>
              </w:rPr>
              <w:t>D</w:t>
            </w:r>
            <w:r w:rsidRPr="00F366F0">
              <w:rPr>
                <w:rFonts w:ascii="Arial" w:eastAsia="Times New Roman" w:hAnsi="Arial" w:cs="Calibri"/>
              </w:rPr>
              <w:t>.</w:t>
            </w:r>
            <w:r w:rsidRPr="00F366F0">
              <w:rPr>
                <w:rFonts w:ascii="Arial" w:eastAsia="Times New Roman" w:hAnsi="Arial" w:cs="Calibri"/>
                <w:spacing w:val="-3"/>
              </w:rPr>
              <w:t xml:space="preserve"> </w:t>
            </w:r>
            <w:r w:rsidRPr="00F366F0">
              <w:rPr>
                <w:rFonts w:ascii="Arial" w:eastAsia="Times New Roman" w:hAnsi="Arial" w:cs="Calibri"/>
              </w:rPr>
              <w:t>Obst</w:t>
            </w:r>
            <w:r w:rsidRPr="00F366F0">
              <w:rPr>
                <w:rFonts w:ascii="Arial" w:eastAsia="Times New Roman" w:hAnsi="Arial" w:cs="Calibri"/>
                <w:spacing w:val="1"/>
              </w:rPr>
              <w:t>r</w:t>
            </w:r>
            <w:r w:rsidRPr="00F366F0">
              <w:rPr>
                <w:rFonts w:ascii="Arial" w:eastAsia="Times New Roman" w:hAnsi="Arial" w:cs="Calibri"/>
              </w:rPr>
              <w:t>uction or false information</w:t>
            </w:r>
          </w:p>
        </w:tc>
        <w:tc>
          <w:tcPr>
            <w:tcW w:w="5177" w:type="dxa"/>
            <w:gridSpan w:val="3"/>
            <w:vMerge/>
            <w:tcBorders>
              <w:top w:val="single" w:sz="2" w:space="0" w:color="F79646"/>
              <w:left w:val="single" w:sz="2" w:space="0" w:color="1F497C"/>
              <w:bottom w:val="single" w:sz="2" w:space="0" w:color="C00000"/>
              <w:right w:val="nil"/>
            </w:tcBorders>
            <w:shd w:val="clear" w:color="auto" w:fill="F79646"/>
          </w:tcPr>
          <w:p w14:paraId="61693FB3" w14:textId="77777777" w:rsidR="00F06066" w:rsidRPr="00F366F0" w:rsidRDefault="00F06066" w:rsidP="00AB2342">
            <w:pPr>
              <w:widowControl w:val="0"/>
              <w:autoSpaceDE w:val="0"/>
              <w:autoSpaceDN w:val="0"/>
              <w:adjustRightInd w:val="0"/>
              <w:spacing w:after="0" w:line="240" w:lineRule="auto"/>
              <w:ind w:left="105" w:right="470"/>
              <w:rPr>
                <w:rFonts w:ascii="Times New Roman" w:eastAsia="Times New Roman" w:hAnsi="Times New Roman" w:cs="Times New Roman"/>
              </w:rPr>
            </w:pPr>
          </w:p>
        </w:tc>
        <w:tc>
          <w:tcPr>
            <w:tcW w:w="1842" w:type="dxa"/>
            <w:tcBorders>
              <w:top w:val="single" w:sz="2" w:space="0" w:color="C00000"/>
              <w:left w:val="nil"/>
              <w:bottom w:val="single" w:sz="2" w:space="0" w:color="C00000"/>
              <w:right w:val="single" w:sz="24" w:space="0" w:color="1F497C"/>
            </w:tcBorders>
            <w:shd w:val="clear" w:color="auto" w:fill="C00000"/>
          </w:tcPr>
          <w:p w14:paraId="1DBDADB1" w14:textId="77777777" w:rsidR="00F06066" w:rsidRPr="00F366F0" w:rsidRDefault="00F06066" w:rsidP="00AB2342">
            <w:pPr>
              <w:widowControl w:val="0"/>
              <w:autoSpaceDE w:val="0"/>
              <w:autoSpaceDN w:val="0"/>
              <w:adjustRightInd w:val="0"/>
              <w:spacing w:after="0" w:line="240" w:lineRule="auto"/>
              <w:rPr>
                <w:rFonts w:ascii="Times New Roman" w:eastAsia="Times New Roman" w:hAnsi="Times New Roman" w:cs="Times New Roman"/>
              </w:rPr>
            </w:pPr>
          </w:p>
        </w:tc>
      </w:tr>
      <w:tr w:rsidR="00F06066" w:rsidRPr="00F366F0" w14:paraId="33FAC0A7" w14:textId="77777777" w:rsidTr="00496BC1">
        <w:trPr>
          <w:trHeight w:hRule="exact" w:val="1248"/>
        </w:trPr>
        <w:tc>
          <w:tcPr>
            <w:tcW w:w="705" w:type="dxa"/>
            <w:vMerge/>
            <w:tcBorders>
              <w:top w:val="single" w:sz="24" w:space="0" w:color="1F497C"/>
              <w:left w:val="single" w:sz="24" w:space="0" w:color="1F497C"/>
              <w:bottom w:val="single" w:sz="2" w:space="0" w:color="1F497C"/>
              <w:right w:val="single" w:sz="2" w:space="0" w:color="1F497C"/>
            </w:tcBorders>
            <w:textDirection w:val="btLr"/>
          </w:tcPr>
          <w:p w14:paraId="40FC08AA" w14:textId="77777777" w:rsidR="00F06066" w:rsidRPr="00F366F0" w:rsidRDefault="00F06066" w:rsidP="00AB2342">
            <w:pPr>
              <w:widowControl w:val="0"/>
              <w:autoSpaceDE w:val="0"/>
              <w:autoSpaceDN w:val="0"/>
              <w:adjustRightInd w:val="0"/>
              <w:spacing w:after="0" w:line="240" w:lineRule="auto"/>
              <w:rPr>
                <w:rFonts w:ascii="Times New Roman" w:eastAsia="Times New Roman" w:hAnsi="Times New Roman" w:cs="Times New Roman"/>
              </w:rPr>
            </w:pPr>
          </w:p>
        </w:tc>
        <w:tc>
          <w:tcPr>
            <w:tcW w:w="2341" w:type="dxa"/>
            <w:tcBorders>
              <w:top w:val="single" w:sz="2" w:space="0" w:color="1F497C"/>
              <w:left w:val="single" w:sz="2" w:space="0" w:color="1F497C"/>
              <w:bottom w:val="single" w:sz="2" w:space="0" w:color="1F497C"/>
              <w:right w:val="single" w:sz="2" w:space="0" w:color="1F497C"/>
            </w:tcBorders>
          </w:tcPr>
          <w:p w14:paraId="1FE52BA4" w14:textId="77777777" w:rsidR="00F06066" w:rsidRPr="00F366F0" w:rsidRDefault="00F06066" w:rsidP="00AB2342">
            <w:pPr>
              <w:widowControl w:val="0"/>
              <w:autoSpaceDE w:val="0"/>
              <w:autoSpaceDN w:val="0"/>
              <w:adjustRightInd w:val="0"/>
              <w:spacing w:before="45" w:after="0" w:line="240" w:lineRule="auto"/>
              <w:ind w:left="105" w:right="131"/>
              <w:rPr>
                <w:rFonts w:ascii="Times New Roman" w:eastAsia="Times New Roman" w:hAnsi="Times New Roman" w:cs="Times New Roman"/>
              </w:rPr>
            </w:pPr>
            <w:r w:rsidRPr="00F366F0">
              <w:rPr>
                <w:rFonts w:ascii="Arial" w:eastAsia="Times New Roman" w:hAnsi="Arial" w:cs="Calibri"/>
              </w:rPr>
              <w:t>E.</w:t>
            </w:r>
            <w:r w:rsidRPr="00F366F0">
              <w:rPr>
                <w:rFonts w:ascii="Arial" w:eastAsia="Times New Roman" w:hAnsi="Arial" w:cs="Calibri"/>
                <w:spacing w:val="-1"/>
              </w:rPr>
              <w:t xml:space="preserve"> </w:t>
            </w:r>
            <w:r w:rsidRPr="00F366F0">
              <w:rPr>
                <w:rFonts w:ascii="Arial" w:eastAsia="Times New Roman" w:hAnsi="Arial" w:cs="Calibri"/>
              </w:rPr>
              <w:t>Ongoi</w:t>
            </w:r>
            <w:r w:rsidRPr="00F366F0">
              <w:rPr>
                <w:rFonts w:ascii="Arial" w:eastAsia="Times New Roman" w:hAnsi="Arial" w:cs="Calibri"/>
                <w:spacing w:val="1"/>
              </w:rPr>
              <w:t>n</w:t>
            </w:r>
            <w:r w:rsidRPr="00F366F0">
              <w:rPr>
                <w:rFonts w:ascii="Arial" w:eastAsia="Times New Roman" w:hAnsi="Arial" w:cs="Calibri"/>
              </w:rPr>
              <w:t>g</w:t>
            </w:r>
            <w:r w:rsidRPr="00F366F0">
              <w:rPr>
                <w:rFonts w:ascii="Arial" w:eastAsia="Times New Roman" w:hAnsi="Arial" w:cs="Calibri"/>
                <w:spacing w:val="-8"/>
              </w:rPr>
              <w:t xml:space="preserve"> </w:t>
            </w:r>
            <w:r w:rsidRPr="00F366F0">
              <w:rPr>
                <w:rFonts w:ascii="Arial" w:eastAsia="Times New Roman" w:hAnsi="Arial" w:cs="Calibri"/>
              </w:rPr>
              <w:t>violation</w:t>
            </w:r>
            <w:r w:rsidRPr="00F366F0">
              <w:rPr>
                <w:rFonts w:ascii="Arial" w:eastAsia="Times New Roman" w:hAnsi="Arial" w:cs="Calibri"/>
                <w:spacing w:val="-9"/>
              </w:rPr>
              <w:t xml:space="preserve"> </w:t>
            </w:r>
            <w:r w:rsidRPr="00F366F0">
              <w:rPr>
                <w:rFonts w:ascii="Arial" w:eastAsia="Times New Roman" w:hAnsi="Arial" w:cs="Calibri"/>
              </w:rPr>
              <w:t>not resolved</w:t>
            </w:r>
            <w:r w:rsidRPr="00F366F0">
              <w:rPr>
                <w:rFonts w:ascii="Arial" w:eastAsia="Times New Roman" w:hAnsi="Arial" w:cs="Calibri"/>
                <w:spacing w:val="-9"/>
              </w:rPr>
              <w:t xml:space="preserve"> </w:t>
            </w:r>
            <w:r w:rsidRPr="00F366F0">
              <w:rPr>
                <w:rFonts w:ascii="Arial" w:eastAsia="Times New Roman" w:hAnsi="Arial" w:cs="Calibri"/>
              </w:rPr>
              <w:t>de</w:t>
            </w:r>
            <w:r w:rsidRPr="00F366F0">
              <w:rPr>
                <w:rFonts w:ascii="Arial" w:eastAsia="Times New Roman" w:hAnsi="Arial" w:cs="Calibri"/>
                <w:spacing w:val="2"/>
              </w:rPr>
              <w:t>s</w:t>
            </w:r>
            <w:r w:rsidRPr="00F366F0">
              <w:rPr>
                <w:rFonts w:ascii="Arial" w:eastAsia="Times New Roman" w:hAnsi="Arial" w:cs="Calibri"/>
              </w:rPr>
              <w:t>pite directions</w:t>
            </w:r>
          </w:p>
        </w:tc>
        <w:tc>
          <w:tcPr>
            <w:tcW w:w="7019" w:type="dxa"/>
            <w:gridSpan w:val="4"/>
            <w:vMerge w:val="restart"/>
            <w:tcBorders>
              <w:top w:val="single" w:sz="2" w:space="0" w:color="C00000"/>
              <w:left w:val="single" w:sz="2" w:space="0" w:color="1F497C"/>
              <w:bottom w:val="single" w:sz="2" w:space="0" w:color="1F497C"/>
              <w:right w:val="single" w:sz="24" w:space="0" w:color="1F497C"/>
            </w:tcBorders>
            <w:shd w:val="clear" w:color="auto" w:fill="C00000"/>
          </w:tcPr>
          <w:p w14:paraId="35C7E9CD" w14:textId="77777777" w:rsidR="00F06066" w:rsidRPr="00F366F0" w:rsidRDefault="00F06066" w:rsidP="00AB2342">
            <w:pPr>
              <w:widowControl w:val="0"/>
              <w:autoSpaceDE w:val="0"/>
              <w:autoSpaceDN w:val="0"/>
              <w:adjustRightInd w:val="0"/>
              <w:spacing w:before="4" w:after="0" w:line="160" w:lineRule="exact"/>
              <w:rPr>
                <w:rFonts w:ascii="Times New Roman" w:eastAsia="Times New Roman" w:hAnsi="Times New Roman" w:cs="Times New Roman"/>
                <w:sz w:val="16"/>
                <w:szCs w:val="16"/>
              </w:rPr>
            </w:pPr>
          </w:p>
          <w:p w14:paraId="5161324A" w14:textId="77777777" w:rsidR="00F06066" w:rsidRPr="00F366F0" w:rsidRDefault="00F06066" w:rsidP="00AB2342">
            <w:pPr>
              <w:widowControl w:val="0"/>
              <w:autoSpaceDE w:val="0"/>
              <w:autoSpaceDN w:val="0"/>
              <w:adjustRightInd w:val="0"/>
              <w:spacing w:after="0" w:line="200" w:lineRule="exact"/>
              <w:rPr>
                <w:rFonts w:ascii="Times New Roman" w:eastAsia="Times New Roman" w:hAnsi="Times New Roman" w:cs="Times New Roman"/>
                <w:sz w:val="20"/>
                <w:szCs w:val="20"/>
              </w:rPr>
            </w:pPr>
          </w:p>
          <w:p w14:paraId="18D33267" w14:textId="77777777" w:rsidR="00F06066" w:rsidRPr="00F366F0" w:rsidRDefault="00F06066" w:rsidP="00AB2342">
            <w:pPr>
              <w:widowControl w:val="0"/>
              <w:autoSpaceDE w:val="0"/>
              <w:autoSpaceDN w:val="0"/>
              <w:adjustRightInd w:val="0"/>
              <w:spacing w:after="0" w:line="200" w:lineRule="exact"/>
              <w:rPr>
                <w:rFonts w:ascii="Times New Roman" w:eastAsia="Times New Roman" w:hAnsi="Times New Roman" w:cs="Times New Roman"/>
                <w:sz w:val="20"/>
                <w:szCs w:val="20"/>
              </w:rPr>
            </w:pPr>
          </w:p>
          <w:p w14:paraId="79415402" w14:textId="77777777" w:rsidR="00F06066" w:rsidRPr="00F366F0" w:rsidRDefault="00F06066" w:rsidP="00AB2342">
            <w:pPr>
              <w:widowControl w:val="0"/>
              <w:autoSpaceDE w:val="0"/>
              <w:autoSpaceDN w:val="0"/>
              <w:adjustRightInd w:val="0"/>
              <w:spacing w:after="0" w:line="240" w:lineRule="auto"/>
              <w:ind w:right="-20"/>
              <w:rPr>
                <w:rFonts w:ascii="Arial" w:eastAsia="Times New Roman" w:hAnsi="Arial" w:cs="Calibri"/>
                <w:color w:val="FFFFFF"/>
              </w:rPr>
            </w:pPr>
            <w:r w:rsidRPr="00F366F0">
              <w:rPr>
                <w:rFonts w:ascii="Times New Roman" w:eastAsia="Times New Roman" w:hAnsi="Times New Roman" w:cs="Times New Roman"/>
                <w:sz w:val="20"/>
                <w:szCs w:val="20"/>
              </w:rPr>
              <w:t xml:space="preserve"> </w:t>
            </w:r>
            <w:r w:rsidRPr="00F366F0">
              <w:rPr>
                <w:rFonts w:ascii="Arial" w:eastAsia="Times New Roman" w:hAnsi="Arial" w:cs="Calibri"/>
                <w:color w:val="FFFFFF"/>
              </w:rPr>
              <w:t>Compliance</w:t>
            </w:r>
            <w:r w:rsidRPr="00F366F0">
              <w:rPr>
                <w:rFonts w:ascii="Arial" w:eastAsia="Times New Roman" w:hAnsi="Arial" w:cs="Calibri"/>
                <w:color w:val="FFFFFF"/>
                <w:spacing w:val="-9"/>
              </w:rPr>
              <w:t xml:space="preserve"> </w:t>
            </w:r>
            <w:r w:rsidRPr="00F366F0">
              <w:rPr>
                <w:rFonts w:ascii="Arial" w:eastAsia="Times New Roman" w:hAnsi="Arial" w:cs="Calibri"/>
                <w:color w:val="FFFFFF"/>
              </w:rPr>
              <w:t>Category</w:t>
            </w:r>
            <w:r w:rsidRPr="00F366F0">
              <w:rPr>
                <w:rFonts w:ascii="Arial" w:eastAsia="Times New Roman" w:hAnsi="Arial" w:cs="Calibri"/>
                <w:color w:val="FFFFFF"/>
                <w:spacing w:val="-8"/>
              </w:rPr>
              <w:t xml:space="preserve"> </w:t>
            </w:r>
            <w:r w:rsidRPr="00F366F0">
              <w:rPr>
                <w:rFonts w:ascii="Arial" w:eastAsia="Times New Roman" w:hAnsi="Arial" w:cs="Calibri"/>
                <w:color w:val="FFFFFF"/>
              </w:rPr>
              <w:t>III (High Risk)</w:t>
            </w:r>
          </w:p>
          <w:p w14:paraId="5A40D293" w14:textId="77777777" w:rsidR="00F06066" w:rsidRPr="00F366F0" w:rsidRDefault="00F06066" w:rsidP="00AB2342">
            <w:pPr>
              <w:widowControl w:val="0"/>
              <w:autoSpaceDE w:val="0"/>
              <w:autoSpaceDN w:val="0"/>
              <w:adjustRightInd w:val="0"/>
              <w:spacing w:after="0" w:line="240" w:lineRule="auto"/>
              <w:ind w:right="-20"/>
              <w:rPr>
                <w:rFonts w:ascii="Arial" w:eastAsia="Times New Roman" w:hAnsi="Arial" w:cs="Calibri"/>
                <w:color w:val="FFFFFF"/>
              </w:rPr>
            </w:pPr>
          </w:p>
          <w:p w14:paraId="03DB495E" w14:textId="638C03BA" w:rsidR="00F06066" w:rsidRPr="00BB6D47" w:rsidRDefault="00F06066" w:rsidP="00AB2342">
            <w:pPr>
              <w:widowControl w:val="0"/>
              <w:autoSpaceDE w:val="0"/>
              <w:autoSpaceDN w:val="0"/>
              <w:adjustRightInd w:val="0"/>
              <w:spacing w:after="0" w:line="240" w:lineRule="auto"/>
              <w:ind w:left="105" w:right="-20"/>
              <w:jc w:val="center"/>
              <w:rPr>
                <w:rFonts w:ascii="Arial" w:eastAsia="Times New Roman" w:hAnsi="Arial" w:cs="Calibri"/>
                <w:b/>
              </w:rPr>
            </w:pPr>
            <w:r w:rsidRPr="00A33EAB">
              <w:rPr>
                <w:rFonts w:ascii="Arial" w:eastAsia="Times New Roman" w:hAnsi="Arial" w:cs="Calibri"/>
                <w:b/>
              </w:rPr>
              <w:t>20</w:t>
            </w:r>
            <w:r w:rsidR="00496BC1">
              <w:rPr>
                <w:rFonts w:ascii="Arial" w:eastAsia="Times New Roman" w:hAnsi="Arial" w:cs="Calibri"/>
                <w:b/>
              </w:rPr>
              <w:t>20-</w:t>
            </w:r>
            <w:r w:rsidRPr="00A33EAB">
              <w:rPr>
                <w:rFonts w:ascii="Arial" w:eastAsia="Times New Roman" w:hAnsi="Arial" w:cs="Calibri"/>
                <w:b/>
              </w:rPr>
              <w:t>2</w:t>
            </w:r>
            <w:r w:rsidR="00496BC1">
              <w:rPr>
                <w:rFonts w:ascii="Arial" w:eastAsia="Times New Roman" w:hAnsi="Arial" w:cs="Calibri"/>
                <w:b/>
              </w:rPr>
              <w:t>1</w:t>
            </w:r>
          </w:p>
          <w:p w14:paraId="0E9A4736" w14:textId="2E06CD0B" w:rsidR="00F06066" w:rsidRPr="00844EC6" w:rsidRDefault="00720C4B" w:rsidP="00AB2342">
            <w:pPr>
              <w:widowControl w:val="0"/>
              <w:autoSpaceDE w:val="0"/>
              <w:autoSpaceDN w:val="0"/>
              <w:adjustRightInd w:val="0"/>
              <w:spacing w:after="0" w:line="240" w:lineRule="auto"/>
              <w:ind w:left="105" w:right="-20"/>
              <w:jc w:val="center"/>
              <w:rPr>
                <w:rFonts w:ascii="Arial" w:eastAsia="Times New Roman" w:hAnsi="Arial" w:cs="Calibri"/>
                <w:b/>
              </w:rPr>
            </w:pPr>
            <w:r>
              <w:rPr>
                <w:rFonts w:ascii="Arial" w:eastAsia="Times New Roman" w:hAnsi="Arial" w:cs="Calibri"/>
                <w:b/>
              </w:rPr>
              <w:t>62</w:t>
            </w:r>
            <w:r w:rsidR="00F06066" w:rsidRPr="00A33EAB">
              <w:rPr>
                <w:rFonts w:ascii="Arial" w:eastAsia="Times New Roman" w:hAnsi="Arial" w:cs="Calibri"/>
                <w:b/>
              </w:rPr>
              <w:t xml:space="preserve"> </w:t>
            </w:r>
            <w:r w:rsidR="00F06066" w:rsidRPr="00BB6D47">
              <w:rPr>
                <w:rFonts w:ascii="Arial" w:eastAsia="Times New Roman" w:hAnsi="Arial" w:cs="Calibri"/>
                <w:b/>
              </w:rPr>
              <w:t>Occurrences</w:t>
            </w:r>
          </w:p>
          <w:p w14:paraId="5D2D7552" w14:textId="77777777" w:rsidR="00F06066" w:rsidRPr="00F366F0" w:rsidRDefault="00F06066" w:rsidP="00720C4B">
            <w:pPr>
              <w:widowControl w:val="0"/>
              <w:autoSpaceDE w:val="0"/>
              <w:autoSpaceDN w:val="0"/>
              <w:adjustRightInd w:val="0"/>
              <w:spacing w:after="0" w:line="240" w:lineRule="auto"/>
              <w:ind w:left="105" w:right="-20"/>
              <w:jc w:val="center"/>
              <w:rPr>
                <w:rFonts w:ascii="Times New Roman" w:eastAsia="Times New Roman" w:hAnsi="Times New Roman" w:cs="Times New Roman"/>
              </w:rPr>
            </w:pPr>
          </w:p>
        </w:tc>
      </w:tr>
      <w:tr w:rsidR="00F06066" w:rsidRPr="00F366F0" w14:paraId="19205911" w14:textId="77777777" w:rsidTr="00496BC1">
        <w:trPr>
          <w:trHeight w:hRule="exact" w:val="1185"/>
        </w:trPr>
        <w:tc>
          <w:tcPr>
            <w:tcW w:w="705" w:type="dxa"/>
            <w:vMerge/>
            <w:tcBorders>
              <w:top w:val="single" w:sz="24" w:space="0" w:color="1F497C"/>
              <w:left w:val="single" w:sz="24" w:space="0" w:color="1F497C"/>
              <w:bottom w:val="single" w:sz="2" w:space="0" w:color="1F497C"/>
              <w:right w:val="single" w:sz="2" w:space="0" w:color="1F497C"/>
            </w:tcBorders>
            <w:textDirection w:val="btLr"/>
          </w:tcPr>
          <w:p w14:paraId="35BD95CB" w14:textId="77777777" w:rsidR="00F06066" w:rsidRPr="00F366F0" w:rsidRDefault="00F06066" w:rsidP="00AB2342">
            <w:pPr>
              <w:widowControl w:val="0"/>
              <w:autoSpaceDE w:val="0"/>
              <w:autoSpaceDN w:val="0"/>
              <w:adjustRightInd w:val="0"/>
              <w:spacing w:after="0" w:line="240" w:lineRule="auto"/>
              <w:ind w:left="105" w:right="-20"/>
              <w:rPr>
                <w:rFonts w:ascii="Times New Roman" w:eastAsia="Times New Roman" w:hAnsi="Times New Roman" w:cs="Times New Roman"/>
              </w:rPr>
            </w:pPr>
          </w:p>
        </w:tc>
        <w:tc>
          <w:tcPr>
            <w:tcW w:w="2341" w:type="dxa"/>
            <w:tcBorders>
              <w:top w:val="single" w:sz="2" w:space="0" w:color="1F497C"/>
              <w:left w:val="single" w:sz="2" w:space="0" w:color="1F497C"/>
              <w:bottom w:val="single" w:sz="2" w:space="0" w:color="1F497C"/>
              <w:right w:val="single" w:sz="2" w:space="0" w:color="1F497C"/>
            </w:tcBorders>
          </w:tcPr>
          <w:p w14:paraId="45285F64" w14:textId="77777777" w:rsidR="00F06066" w:rsidRPr="00F366F0" w:rsidRDefault="00F06066" w:rsidP="00AB2342">
            <w:pPr>
              <w:widowControl w:val="0"/>
              <w:autoSpaceDE w:val="0"/>
              <w:autoSpaceDN w:val="0"/>
              <w:adjustRightInd w:val="0"/>
              <w:spacing w:before="10" w:after="0" w:line="170" w:lineRule="exact"/>
              <w:rPr>
                <w:rFonts w:ascii="Times New Roman" w:eastAsia="Times New Roman" w:hAnsi="Times New Roman" w:cs="Times New Roman"/>
                <w:sz w:val="17"/>
                <w:szCs w:val="17"/>
              </w:rPr>
            </w:pPr>
          </w:p>
          <w:p w14:paraId="38E06694" w14:textId="77777777" w:rsidR="00F06066" w:rsidRPr="00F366F0" w:rsidRDefault="00F06066" w:rsidP="00AB2342">
            <w:pPr>
              <w:widowControl w:val="0"/>
              <w:autoSpaceDE w:val="0"/>
              <w:autoSpaceDN w:val="0"/>
              <w:adjustRightInd w:val="0"/>
              <w:spacing w:after="0" w:line="240" w:lineRule="auto"/>
              <w:ind w:left="105" w:right="245"/>
              <w:rPr>
                <w:rFonts w:ascii="Times New Roman" w:eastAsia="Times New Roman" w:hAnsi="Times New Roman" w:cs="Times New Roman"/>
              </w:rPr>
            </w:pPr>
            <w:r w:rsidRPr="00F366F0">
              <w:rPr>
                <w:rFonts w:ascii="Arial" w:eastAsia="Times New Roman" w:hAnsi="Arial" w:cs="Calibri"/>
              </w:rPr>
              <w:t>F.</w:t>
            </w:r>
            <w:r w:rsidRPr="00F366F0">
              <w:rPr>
                <w:rFonts w:ascii="Arial" w:eastAsia="Times New Roman" w:hAnsi="Arial" w:cs="Calibri"/>
                <w:spacing w:val="-3"/>
              </w:rPr>
              <w:t xml:space="preserve"> </w:t>
            </w:r>
            <w:r w:rsidRPr="00F366F0">
              <w:rPr>
                <w:rFonts w:ascii="Arial" w:eastAsia="Times New Roman" w:hAnsi="Arial" w:cs="Calibri"/>
              </w:rPr>
              <w:t>Previous</w:t>
            </w:r>
            <w:r w:rsidRPr="00F366F0">
              <w:rPr>
                <w:rFonts w:ascii="Arial" w:eastAsia="Times New Roman" w:hAnsi="Arial" w:cs="Calibri"/>
                <w:spacing w:val="-8"/>
              </w:rPr>
              <w:t xml:space="preserve"> </w:t>
            </w:r>
            <w:r w:rsidRPr="00F366F0">
              <w:rPr>
                <w:rFonts w:ascii="Arial" w:eastAsia="Times New Roman" w:hAnsi="Arial" w:cs="Calibri"/>
              </w:rPr>
              <w:t xml:space="preserve">convictions </w:t>
            </w:r>
            <w:r w:rsidRPr="00F366F0">
              <w:rPr>
                <w:rFonts w:ascii="Arial" w:eastAsia="Times New Roman" w:hAnsi="Arial" w:cs="Calibri"/>
                <w:spacing w:val="1"/>
              </w:rPr>
              <w:t>o</w:t>
            </w:r>
            <w:r w:rsidRPr="00F366F0">
              <w:rPr>
                <w:rFonts w:ascii="Arial" w:eastAsia="Times New Roman" w:hAnsi="Arial" w:cs="Calibri"/>
              </w:rPr>
              <w:t>r</w:t>
            </w:r>
            <w:r w:rsidRPr="00F366F0">
              <w:rPr>
                <w:rFonts w:ascii="Arial" w:eastAsia="Times New Roman" w:hAnsi="Arial" w:cs="Calibri"/>
                <w:spacing w:val="-2"/>
              </w:rPr>
              <w:t xml:space="preserve"> </w:t>
            </w:r>
            <w:r w:rsidRPr="00F366F0">
              <w:rPr>
                <w:rFonts w:ascii="Arial" w:eastAsia="Times New Roman" w:hAnsi="Arial" w:cs="Calibri"/>
              </w:rPr>
              <w:t>orders</w:t>
            </w:r>
          </w:p>
        </w:tc>
        <w:tc>
          <w:tcPr>
            <w:tcW w:w="7019" w:type="dxa"/>
            <w:gridSpan w:val="4"/>
            <w:vMerge/>
            <w:tcBorders>
              <w:top w:val="single" w:sz="2" w:space="0" w:color="C00000"/>
              <w:left w:val="single" w:sz="2" w:space="0" w:color="1F497C"/>
              <w:bottom w:val="single" w:sz="2" w:space="0" w:color="1F497C"/>
              <w:right w:val="single" w:sz="24" w:space="0" w:color="1F497C"/>
            </w:tcBorders>
            <w:shd w:val="clear" w:color="auto" w:fill="C00000"/>
          </w:tcPr>
          <w:p w14:paraId="13CC2126" w14:textId="77777777" w:rsidR="00F06066" w:rsidRPr="00F366F0" w:rsidRDefault="00F06066" w:rsidP="00AB2342">
            <w:pPr>
              <w:widowControl w:val="0"/>
              <w:autoSpaceDE w:val="0"/>
              <w:autoSpaceDN w:val="0"/>
              <w:adjustRightInd w:val="0"/>
              <w:spacing w:after="0" w:line="240" w:lineRule="auto"/>
              <w:ind w:left="105" w:right="245"/>
              <w:rPr>
                <w:rFonts w:ascii="Times New Roman" w:eastAsia="Times New Roman" w:hAnsi="Times New Roman" w:cs="Times New Roman"/>
              </w:rPr>
            </w:pPr>
          </w:p>
        </w:tc>
      </w:tr>
      <w:tr w:rsidR="00F06066" w:rsidRPr="00F366F0" w14:paraId="3451AC2B" w14:textId="77777777" w:rsidTr="00496BC1">
        <w:trPr>
          <w:trHeight w:hRule="exact" w:val="1395"/>
        </w:trPr>
        <w:tc>
          <w:tcPr>
            <w:tcW w:w="10065" w:type="dxa"/>
            <w:gridSpan w:val="6"/>
            <w:tcBorders>
              <w:top w:val="single" w:sz="2" w:space="0" w:color="1F497C"/>
              <w:left w:val="single" w:sz="24" w:space="0" w:color="1F497C"/>
              <w:bottom w:val="single" w:sz="2" w:space="0" w:color="1F497C"/>
              <w:right w:val="single" w:sz="24" w:space="0" w:color="1F497C"/>
            </w:tcBorders>
          </w:tcPr>
          <w:p w14:paraId="0905A5BD" w14:textId="77777777" w:rsidR="00F06066" w:rsidRPr="00F366F0" w:rsidRDefault="00F06066" w:rsidP="00AB2342">
            <w:pPr>
              <w:widowControl w:val="0"/>
              <w:autoSpaceDE w:val="0"/>
              <w:autoSpaceDN w:val="0"/>
              <w:adjustRightInd w:val="0"/>
              <w:spacing w:before="10" w:after="0" w:line="130" w:lineRule="exact"/>
              <w:rPr>
                <w:rFonts w:ascii="Times New Roman" w:eastAsia="Times New Roman" w:hAnsi="Times New Roman" w:cs="Times New Roman"/>
                <w:sz w:val="13"/>
                <w:szCs w:val="13"/>
              </w:rPr>
            </w:pPr>
          </w:p>
          <w:p w14:paraId="38B3FEDB" w14:textId="77777777" w:rsidR="00F06066" w:rsidRPr="00F366F0" w:rsidRDefault="00F06066" w:rsidP="00AB2342">
            <w:pPr>
              <w:widowControl w:val="0"/>
              <w:autoSpaceDE w:val="0"/>
              <w:autoSpaceDN w:val="0"/>
              <w:adjustRightInd w:val="0"/>
              <w:spacing w:after="0" w:line="200" w:lineRule="exact"/>
              <w:rPr>
                <w:rFonts w:ascii="Times New Roman" w:eastAsia="Times New Roman" w:hAnsi="Times New Roman" w:cs="Times New Roman"/>
                <w:sz w:val="20"/>
                <w:szCs w:val="20"/>
              </w:rPr>
            </w:pPr>
          </w:p>
          <w:p w14:paraId="6C44DE10" w14:textId="77777777" w:rsidR="00F06066" w:rsidRPr="00F366F0" w:rsidRDefault="00F06066" w:rsidP="00AB2342">
            <w:pPr>
              <w:widowControl w:val="0"/>
              <w:autoSpaceDE w:val="0"/>
              <w:autoSpaceDN w:val="0"/>
              <w:adjustRightInd w:val="0"/>
              <w:spacing w:after="0" w:line="200" w:lineRule="exact"/>
              <w:rPr>
                <w:rFonts w:ascii="Times New Roman" w:eastAsia="Times New Roman" w:hAnsi="Times New Roman" w:cs="Times New Roman"/>
                <w:sz w:val="20"/>
                <w:szCs w:val="20"/>
              </w:rPr>
            </w:pPr>
          </w:p>
          <w:p w14:paraId="29080918" w14:textId="77777777" w:rsidR="00F06066" w:rsidRPr="00F366F0" w:rsidRDefault="00F06066" w:rsidP="00AB2342">
            <w:pPr>
              <w:widowControl w:val="0"/>
              <w:autoSpaceDE w:val="0"/>
              <w:autoSpaceDN w:val="0"/>
              <w:adjustRightInd w:val="0"/>
              <w:spacing w:after="0" w:line="240" w:lineRule="auto"/>
              <w:ind w:left="78" w:right="17"/>
              <w:jc w:val="both"/>
              <w:rPr>
                <w:rFonts w:ascii="Times New Roman" w:eastAsia="Times New Roman" w:hAnsi="Times New Roman" w:cs="Times New Roman"/>
              </w:rPr>
            </w:pPr>
            <w:r w:rsidRPr="00F366F0">
              <w:rPr>
                <w:rFonts w:ascii="Arial" w:eastAsia="Times New Roman" w:hAnsi="Arial" w:cs="Calibri"/>
              </w:rPr>
              <w:t>Category</w:t>
            </w:r>
            <w:r w:rsidRPr="00F366F0">
              <w:rPr>
                <w:rFonts w:ascii="Arial" w:eastAsia="Times New Roman" w:hAnsi="Arial" w:cs="Calibri"/>
                <w:spacing w:val="7"/>
              </w:rPr>
              <w:t xml:space="preserve"> </w:t>
            </w:r>
            <w:r w:rsidRPr="00F366F0">
              <w:rPr>
                <w:rFonts w:ascii="Arial" w:eastAsia="Times New Roman" w:hAnsi="Arial" w:cs="Calibri"/>
              </w:rPr>
              <w:t>I</w:t>
            </w:r>
            <w:r w:rsidRPr="00F366F0">
              <w:rPr>
                <w:rFonts w:ascii="Arial" w:eastAsia="Times New Roman" w:hAnsi="Arial" w:cs="Calibri"/>
                <w:spacing w:val="14"/>
              </w:rPr>
              <w:t xml:space="preserve"> </w:t>
            </w:r>
            <w:r w:rsidRPr="00F366F0">
              <w:rPr>
                <w:rFonts w:ascii="Cambria Math" w:eastAsia="Times New Roman" w:hAnsi="Cambria Math" w:cs="Cambria Math"/>
              </w:rPr>
              <w:t>‐</w:t>
            </w:r>
            <w:r w:rsidRPr="00F366F0">
              <w:rPr>
                <w:rFonts w:ascii="Arial" w:eastAsia="Times New Roman" w:hAnsi="Arial" w:cs="Calibri"/>
                <w:spacing w:val="14"/>
              </w:rPr>
              <w:t xml:space="preserve"> </w:t>
            </w:r>
            <w:r w:rsidRPr="00F366F0">
              <w:rPr>
                <w:rFonts w:ascii="Arial" w:eastAsia="Times New Roman" w:hAnsi="Arial" w:cs="Calibri"/>
              </w:rPr>
              <w:t>Encourage</w:t>
            </w:r>
            <w:r w:rsidRPr="00F366F0">
              <w:rPr>
                <w:rFonts w:ascii="Arial" w:eastAsia="Times New Roman" w:hAnsi="Arial" w:cs="Calibri"/>
                <w:spacing w:val="7"/>
              </w:rPr>
              <w:t xml:space="preserve"> </w:t>
            </w:r>
            <w:proofErr w:type="gramStart"/>
            <w:r w:rsidRPr="00F366F0">
              <w:rPr>
                <w:rFonts w:ascii="Arial" w:eastAsia="Times New Roman" w:hAnsi="Arial" w:cs="Calibri"/>
              </w:rPr>
              <w:t>land owner</w:t>
            </w:r>
            <w:proofErr w:type="gramEnd"/>
            <w:r w:rsidRPr="00F366F0">
              <w:rPr>
                <w:rFonts w:ascii="Arial" w:eastAsia="Times New Roman" w:hAnsi="Arial" w:cs="Calibri"/>
              </w:rPr>
              <w:t xml:space="preserve"> to</w:t>
            </w:r>
            <w:r w:rsidRPr="00F366F0">
              <w:rPr>
                <w:rFonts w:ascii="Arial" w:eastAsia="Times New Roman" w:hAnsi="Arial" w:cs="Calibri"/>
                <w:spacing w:val="13"/>
              </w:rPr>
              <w:t xml:space="preserve"> </w:t>
            </w:r>
            <w:r w:rsidRPr="00F366F0">
              <w:rPr>
                <w:rFonts w:ascii="Arial" w:eastAsia="Times New Roman" w:hAnsi="Arial" w:cs="Calibri"/>
              </w:rPr>
              <w:t>attain</w:t>
            </w:r>
            <w:r w:rsidRPr="00F366F0">
              <w:rPr>
                <w:rFonts w:ascii="Arial" w:eastAsia="Times New Roman" w:hAnsi="Arial" w:cs="Calibri"/>
                <w:spacing w:val="10"/>
              </w:rPr>
              <w:t xml:space="preserve"> </w:t>
            </w:r>
            <w:r w:rsidRPr="00F366F0">
              <w:rPr>
                <w:rFonts w:ascii="Arial" w:eastAsia="Times New Roman" w:hAnsi="Arial" w:cs="Calibri"/>
              </w:rPr>
              <w:t>voluntary</w:t>
            </w:r>
            <w:r w:rsidRPr="00F366F0">
              <w:rPr>
                <w:rFonts w:ascii="Arial" w:eastAsia="Times New Roman" w:hAnsi="Arial" w:cs="Calibri"/>
                <w:spacing w:val="7"/>
              </w:rPr>
              <w:t xml:space="preserve"> </w:t>
            </w:r>
            <w:r w:rsidRPr="00F366F0">
              <w:rPr>
                <w:rFonts w:ascii="Arial" w:eastAsia="Times New Roman" w:hAnsi="Arial" w:cs="Calibri"/>
              </w:rPr>
              <w:t>compl</w:t>
            </w:r>
            <w:r w:rsidRPr="00F366F0">
              <w:rPr>
                <w:rFonts w:ascii="Arial" w:eastAsia="Times New Roman" w:hAnsi="Arial" w:cs="Calibri"/>
                <w:spacing w:val="1"/>
              </w:rPr>
              <w:t>i</w:t>
            </w:r>
            <w:r w:rsidRPr="00F366F0">
              <w:rPr>
                <w:rFonts w:ascii="Arial" w:eastAsia="Times New Roman" w:hAnsi="Arial" w:cs="Calibri"/>
              </w:rPr>
              <w:t>ance.</w:t>
            </w:r>
            <w:r w:rsidRPr="00F366F0">
              <w:rPr>
                <w:rFonts w:ascii="Arial" w:eastAsia="Times New Roman" w:hAnsi="Arial" w:cs="Calibri"/>
                <w:spacing w:val="5"/>
              </w:rPr>
              <w:t xml:space="preserve"> </w:t>
            </w:r>
            <w:r w:rsidRPr="00F366F0">
              <w:rPr>
                <w:rFonts w:ascii="Arial" w:eastAsia="Times New Roman" w:hAnsi="Arial" w:cs="Calibri"/>
              </w:rPr>
              <w:t>Reco</w:t>
            </w:r>
            <w:r w:rsidRPr="00F366F0">
              <w:rPr>
                <w:rFonts w:ascii="Arial" w:eastAsia="Times New Roman" w:hAnsi="Arial" w:cs="Calibri"/>
                <w:spacing w:val="1"/>
              </w:rPr>
              <w:t>m</w:t>
            </w:r>
            <w:r w:rsidRPr="00F366F0">
              <w:rPr>
                <w:rFonts w:ascii="Arial" w:eastAsia="Times New Roman" w:hAnsi="Arial" w:cs="Calibri"/>
              </w:rPr>
              <w:t>me</w:t>
            </w:r>
            <w:r w:rsidRPr="00F366F0">
              <w:rPr>
                <w:rFonts w:ascii="Arial" w:eastAsia="Times New Roman" w:hAnsi="Arial" w:cs="Calibri"/>
                <w:spacing w:val="1"/>
              </w:rPr>
              <w:t>n</w:t>
            </w:r>
            <w:r w:rsidRPr="00F366F0">
              <w:rPr>
                <w:rFonts w:ascii="Arial" w:eastAsia="Times New Roman" w:hAnsi="Arial" w:cs="Calibri"/>
              </w:rPr>
              <w:t>d educ</w:t>
            </w:r>
            <w:r w:rsidRPr="00F366F0">
              <w:rPr>
                <w:rFonts w:ascii="Arial" w:eastAsia="Times New Roman" w:hAnsi="Arial" w:cs="Calibri"/>
                <w:spacing w:val="1"/>
              </w:rPr>
              <w:t>a</w:t>
            </w:r>
            <w:r w:rsidRPr="00F366F0">
              <w:rPr>
                <w:rFonts w:ascii="Arial" w:eastAsia="Times New Roman" w:hAnsi="Arial" w:cs="Calibri"/>
              </w:rPr>
              <w:t>tion</w:t>
            </w:r>
            <w:r w:rsidRPr="00F366F0">
              <w:rPr>
                <w:rFonts w:ascii="Arial" w:eastAsia="Times New Roman" w:hAnsi="Arial" w:cs="Calibri"/>
                <w:spacing w:val="8"/>
              </w:rPr>
              <w:t xml:space="preserve"> </w:t>
            </w:r>
            <w:r w:rsidRPr="00F366F0">
              <w:rPr>
                <w:rFonts w:ascii="Arial" w:eastAsia="Times New Roman" w:hAnsi="Arial" w:cs="Calibri"/>
              </w:rPr>
              <w:t>and</w:t>
            </w:r>
            <w:r w:rsidRPr="00F366F0">
              <w:rPr>
                <w:rFonts w:ascii="Arial" w:eastAsia="Times New Roman" w:hAnsi="Arial" w:cs="Calibri"/>
                <w:spacing w:val="14"/>
              </w:rPr>
              <w:t xml:space="preserve"> </w:t>
            </w:r>
            <w:r w:rsidRPr="00F366F0">
              <w:rPr>
                <w:rFonts w:ascii="Arial" w:eastAsia="Times New Roman" w:hAnsi="Arial" w:cs="Calibri"/>
              </w:rPr>
              <w:t>outreach</w:t>
            </w:r>
            <w:r w:rsidRPr="00F366F0">
              <w:rPr>
                <w:rFonts w:ascii="Arial" w:eastAsia="Times New Roman" w:hAnsi="Arial" w:cs="Calibri"/>
                <w:spacing w:val="11"/>
              </w:rPr>
              <w:t xml:space="preserve"> </w:t>
            </w:r>
            <w:r w:rsidRPr="00F366F0">
              <w:rPr>
                <w:rFonts w:ascii="Arial" w:eastAsia="Times New Roman" w:hAnsi="Arial" w:cs="Calibri"/>
              </w:rPr>
              <w:t>to</w:t>
            </w:r>
            <w:r w:rsidRPr="00F366F0">
              <w:rPr>
                <w:rFonts w:ascii="Arial" w:eastAsia="Times New Roman" w:hAnsi="Arial" w:cs="Calibri"/>
                <w:spacing w:val="16"/>
              </w:rPr>
              <w:t xml:space="preserve"> </w:t>
            </w:r>
            <w:r w:rsidRPr="00F366F0">
              <w:rPr>
                <w:rFonts w:ascii="Arial" w:eastAsia="Times New Roman" w:hAnsi="Arial" w:cs="Calibri"/>
              </w:rPr>
              <w:t>help</w:t>
            </w:r>
            <w:r w:rsidRPr="00F366F0">
              <w:rPr>
                <w:rFonts w:ascii="Arial" w:eastAsia="Times New Roman" w:hAnsi="Arial" w:cs="Calibri"/>
                <w:spacing w:val="13"/>
              </w:rPr>
              <w:t xml:space="preserve"> </w:t>
            </w:r>
            <w:r w:rsidRPr="00F366F0">
              <w:rPr>
                <w:rFonts w:ascii="Arial" w:eastAsia="Times New Roman" w:hAnsi="Arial" w:cs="Calibri"/>
              </w:rPr>
              <w:t>the</w:t>
            </w:r>
            <w:r w:rsidRPr="00F366F0">
              <w:rPr>
                <w:rFonts w:ascii="Arial" w:eastAsia="Times New Roman" w:hAnsi="Arial" w:cs="Calibri"/>
                <w:spacing w:val="14"/>
              </w:rPr>
              <w:t xml:space="preserve"> </w:t>
            </w:r>
            <w:proofErr w:type="gramStart"/>
            <w:r w:rsidRPr="00F366F0">
              <w:rPr>
                <w:rFonts w:ascii="Arial" w:eastAsia="Times New Roman" w:hAnsi="Arial" w:cs="Calibri"/>
              </w:rPr>
              <w:t>land owner</w:t>
            </w:r>
            <w:proofErr w:type="gramEnd"/>
            <w:r w:rsidRPr="00F366F0">
              <w:rPr>
                <w:rFonts w:ascii="Arial" w:eastAsia="Times New Roman" w:hAnsi="Arial" w:cs="Calibri"/>
              </w:rPr>
              <w:t xml:space="preserve"> u</w:t>
            </w:r>
            <w:r w:rsidRPr="00F366F0">
              <w:rPr>
                <w:rFonts w:ascii="Arial" w:eastAsia="Times New Roman" w:hAnsi="Arial" w:cs="Calibri"/>
                <w:spacing w:val="1"/>
              </w:rPr>
              <w:t>n</w:t>
            </w:r>
            <w:r w:rsidRPr="00F366F0">
              <w:rPr>
                <w:rFonts w:ascii="Arial" w:eastAsia="Times New Roman" w:hAnsi="Arial" w:cs="Calibri"/>
              </w:rPr>
              <w:t>derstand</w:t>
            </w:r>
            <w:r w:rsidRPr="00F366F0">
              <w:rPr>
                <w:rFonts w:ascii="Arial" w:eastAsia="Times New Roman" w:hAnsi="Arial" w:cs="Calibri"/>
                <w:spacing w:val="7"/>
              </w:rPr>
              <w:t xml:space="preserve"> </w:t>
            </w:r>
            <w:r w:rsidRPr="00F366F0">
              <w:rPr>
                <w:rFonts w:ascii="Arial" w:eastAsia="Times New Roman" w:hAnsi="Arial" w:cs="Calibri"/>
              </w:rPr>
              <w:t>regulatory</w:t>
            </w:r>
            <w:r w:rsidRPr="00F366F0">
              <w:rPr>
                <w:rFonts w:ascii="Arial" w:eastAsia="Times New Roman" w:hAnsi="Arial" w:cs="Calibri"/>
                <w:spacing w:val="8"/>
              </w:rPr>
              <w:t xml:space="preserve"> </w:t>
            </w:r>
            <w:r w:rsidRPr="00F366F0">
              <w:rPr>
                <w:rFonts w:ascii="Arial" w:eastAsia="Times New Roman" w:hAnsi="Arial" w:cs="Calibri"/>
              </w:rPr>
              <w:t>obligation</w:t>
            </w:r>
            <w:r w:rsidRPr="00F366F0">
              <w:rPr>
                <w:rFonts w:ascii="Arial" w:eastAsia="Times New Roman" w:hAnsi="Arial" w:cs="Calibri"/>
                <w:spacing w:val="1"/>
              </w:rPr>
              <w:t>s</w:t>
            </w:r>
            <w:r w:rsidRPr="00F366F0">
              <w:rPr>
                <w:rFonts w:ascii="Arial" w:eastAsia="Times New Roman" w:hAnsi="Arial" w:cs="Calibri"/>
              </w:rPr>
              <w:t>. Warnings</w:t>
            </w:r>
            <w:r w:rsidRPr="00F366F0">
              <w:rPr>
                <w:rFonts w:ascii="Arial" w:eastAsia="Times New Roman" w:hAnsi="Arial" w:cs="Calibri"/>
                <w:spacing w:val="-8"/>
              </w:rPr>
              <w:t xml:space="preserve"> </w:t>
            </w:r>
            <w:r w:rsidRPr="00F366F0">
              <w:rPr>
                <w:rFonts w:ascii="Arial" w:eastAsia="Times New Roman" w:hAnsi="Arial" w:cs="Calibri"/>
                <w:spacing w:val="1"/>
              </w:rPr>
              <w:t>o</w:t>
            </w:r>
            <w:r w:rsidRPr="00F366F0">
              <w:rPr>
                <w:rFonts w:ascii="Arial" w:eastAsia="Times New Roman" w:hAnsi="Arial" w:cs="Calibri"/>
              </w:rPr>
              <w:t>r</w:t>
            </w:r>
            <w:r w:rsidRPr="00F366F0">
              <w:rPr>
                <w:rFonts w:ascii="Arial" w:eastAsia="Times New Roman" w:hAnsi="Arial" w:cs="Calibri"/>
                <w:spacing w:val="-2"/>
              </w:rPr>
              <w:t xml:space="preserve"> </w:t>
            </w:r>
            <w:r w:rsidRPr="00F366F0">
              <w:rPr>
                <w:rFonts w:ascii="Arial" w:eastAsia="Times New Roman" w:hAnsi="Arial" w:cs="Calibri"/>
                <w:spacing w:val="1"/>
              </w:rPr>
              <w:t>I</w:t>
            </w:r>
            <w:r w:rsidRPr="00F366F0">
              <w:rPr>
                <w:rFonts w:ascii="Arial" w:eastAsia="Times New Roman" w:hAnsi="Arial" w:cs="Calibri"/>
              </w:rPr>
              <w:t>n</w:t>
            </w:r>
            <w:r w:rsidRPr="00F366F0">
              <w:rPr>
                <w:rFonts w:ascii="Arial" w:eastAsia="Times New Roman" w:hAnsi="Arial" w:cs="Calibri"/>
                <w:spacing w:val="1"/>
              </w:rPr>
              <w:t>s</w:t>
            </w:r>
            <w:r w:rsidRPr="00F366F0">
              <w:rPr>
                <w:rFonts w:ascii="Arial" w:eastAsia="Times New Roman" w:hAnsi="Arial" w:cs="Calibri"/>
              </w:rPr>
              <w:t>pec</w:t>
            </w:r>
            <w:r w:rsidRPr="00F366F0">
              <w:rPr>
                <w:rFonts w:ascii="Arial" w:eastAsia="Times New Roman" w:hAnsi="Arial" w:cs="Calibri"/>
                <w:spacing w:val="1"/>
              </w:rPr>
              <w:t>tio</w:t>
            </w:r>
            <w:r w:rsidRPr="00F366F0">
              <w:rPr>
                <w:rFonts w:ascii="Arial" w:eastAsia="Times New Roman" w:hAnsi="Arial" w:cs="Calibri"/>
              </w:rPr>
              <w:t>n</w:t>
            </w:r>
            <w:r w:rsidRPr="00F366F0">
              <w:rPr>
                <w:rFonts w:ascii="Arial" w:eastAsia="Times New Roman" w:hAnsi="Arial" w:cs="Calibri"/>
                <w:spacing w:val="-9"/>
              </w:rPr>
              <w:t xml:space="preserve"> </w:t>
            </w:r>
            <w:r w:rsidRPr="00F366F0">
              <w:rPr>
                <w:rFonts w:ascii="Arial" w:eastAsia="Times New Roman" w:hAnsi="Arial" w:cs="Calibri"/>
              </w:rPr>
              <w:t>R</w:t>
            </w:r>
            <w:r w:rsidRPr="00F366F0">
              <w:rPr>
                <w:rFonts w:ascii="Arial" w:eastAsia="Times New Roman" w:hAnsi="Arial" w:cs="Calibri"/>
                <w:spacing w:val="1"/>
              </w:rPr>
              <w:t>e</w:t>
            </w:r>
            <w:r w:rsidRPr="00F366F0">
              <w:rPr>
                <w:rFonts w:ascii="Arial" w:eastAsia="Times New Roman" w:hAnsi="Arial" w:cs="Calibri"/>
              </w:rPr>
              <w:t>ports</w:t>
            </w:r>
            <w:r w:rsidRPr="00F366F0">
              <w:rPr>
                <w:rFonts w:ascii="Arial" w:eastAsia="Times New Roman" w:hAnsi="Arial" w:cs="Calibri"/>
                <w:spacing w:val="-7"/>
              </w:rPr>
              <w:t xml:space="preserve"> </w:t>
            </w:r>
            <w:r w:rsidRPr="00F366F0">
              <w:rPr>
                <w:rFonts w:ascii="Arial" w:eastAsia="Times New Roman" w:hAnsi="Arial" w:cs="Calibri"/>
              </w:rPr>
              <w:t>may</w:t>
            </w:r>
            <w:r w:rsidRPr="00F366F0">
              <w:rPr>
                <w:rFonts w:ascii="Arial" w:eastAsia="Times New Roman" w:hAnsi="Arial" w:cs="Calibri"/>
                <w:spacing w:val="-4"/>
              </w:rPr>
              <w:t xml:space="preserve"> </w:t>
            </w:r>
            <w:r w:rsidRPr="00F366F0">
              <w:rPr>
                <w:rFonts w:ascii="Arial" w:eastAsia="Times New Roman" w:hAnsi="Arial" w:cs="Calibri"/>
              </w:rPr>
              <w:t>al</w:t>
            </w:r>
            <w:r w:rsidRPr="00F366F0">
              <w:rPr>
                <w:rFonts w:ascii="Arial" w:eastAsia="Times New Roman" w:hAnsi="Arial" w:cs="Calibri"/>
                <w:spacing w:val="2"/>
              </w:rPr>
              <w:t>s</w:t>
            </w:r>
            <w:r w:rsidRPr="00F366F0">
              <w:rPr>
                <w:rFonts w:ascii="Arial" w:eastAsia="Times New Roman" w:hAnsi="Arial" w:cs="Calibri"/>
              </w:rPr>
              <w:t>o</w:t>
            </w:r>
            <w:r w:rsidRPr="00F366F0">
              <w:rPr>
                <w:rFonts w:ascii="Arial" w:eastAsia="Times New Roman" w:hAnsi="Arial" w:cs="Calibri"/>
                <w:spacing w:val="-4"/>
              </w:rPr>
              <w:t xml:space="preserve"> </w:t>
            </w:r>
            <w:r w:rsidRPr="00F366F0">
              <w:rPr>
                <w:rFonts w:ascii="Arial" w:eastAsia="Times New Roman" w:hAnsi="Arial" w:cs="Calibri"/>
              </w:rPr>
              <w:t>be</w:t>
            </w:r>
            <w:r w:rsidRPr="00F366F0">
              <w:rPr>
                <w:rFonts w:ascii="Arial" w:eastAsia="Times New Roman" w:hAnsi="Arial" w:cs="Calibri"/>
                <w:spacing w:val="-1"/>
              </w:rPr>
              <w:t xml:space="preserve"> </w:t>
            </w:r>
            <w:r w:rsidRPr="00F366F0">
              <w:rPr>
                <w:rFonts w:ascii="Arial" w:eastAsia="Times New Roman" w:hAnsi="Arial" w:cs="Calibri"/>
              </w:rPr>
              <w:t>conside</w:t>
            </w:r>
            <w:r w:rsidRPr="00F366F0">
              <w:rPr>
                <w:rFonts w:ascii="Arial" w:eastAsia="Times New Roman" w:hAnsi="Arial" w:cs="Calibri"/>
                <w:spacing w:val="1"/>
              </w:rPr>
              <w:t>r</w:t>
            </w:r>
            <w:r w:rsidRPr="00F366F0">
              <w:rPr>
                <w:rFonts w:ascii="Arial" w:eastAsia="Times New Roman" w:hAnsi="Arial" w:cs="Calibri"/>
              </w:rPr>
              <w:t>ed.</w:t>
            </w:r>
          </w:p>
        </w:tc>
      </w:tr>
      <w:tr w:rsidR="00F06066" w:rsidRPr="00F366F0" w14:paraId="3CBAEA93" w14:textId="77777777" w:rsidTr="00496BC1">
        <w:trPr>
          <w:trHeight w:hRule="exact" w:val="709"/>
        </w:trPr>
        <w:tc>
          <w:tcPr>
            <w:tcW w:w="10065" w:type="dxa"/>
            <w:gridSpan w:val="6"/>
            <w:tcBorders>
              <w:top w:val="single" w:sz="2" w:space="0" w:color="1F497C"/>
              <w:left w:val="single" w:sz="24" w:space="0" w:color="1F497C"/>
              <w:bottom w:val="single" w:sz="2" w:space="0" w:color="1F497C"/>
              <w:right w:val="single" w:sz="24" w:space="0" w:color="1F497C"/>
            </w:tcBorders>
          </w:tcPr>
          <w:p w14:paraId="3C46CE47" w14:textId="77777777" w:rsidR="00F06066" w:rsidRPr="00F366F0" w:rsidRDefault="00F06066" w:rsidP="00AB2342">
            <w:pPr>
              <w:widowControl w:val="0"/>
              <w:autoSpaceDE w:val="0"/>
              <w:autoSpaceDN w:val="0"/>
              <w:adjustRightInd w:val="0"/>
              <w:spacing w:before="6" w:after="0" w:line="130" w:lineRule="exact"/>
              <w:rPr>
                <w:rFonts w:ascii="Times New Roman" w:eastAsia="Times New Roman" w:hAnsi="Times New Roman" w:cs="Times New Roman"/>
                <w:sz w:val="13"/>
                <w:szCs w:val="13"/>
              </w:rPr>
            </w:pPr>
          </w:p>
          <w:p w14:paraId="03645FC6" w14:textId="77777777" w:rsidR="00F06066" w:rsidRPr="00F366F0" w:rsidRDefault="00F06066" w:rsidP="00AB2342">
            <w:pPr>
              <w:widowControl w:val="0"/>
              <w:autoSpaceDE w:val="0"/>
              <w:autoSpaceDN w:val="0"/>
              <w:adjustRightInd w:val="0"/>
              <w:spacing w:after="0" w:line="240" w:lineRule="auto"/>
              <w:ind w:left="79" w:right="13" w:hanging="1"/>
              <w:rPr>
                <w:rFonts w:ascii="Times New Roman" w:eastAsia="Times New Roman" w:hAnsi="Times New Roman" w:cs="Times New Roman"/>
              </w:rPr>
            </w:pPr>
            <w:r w:rsidRPr="00F366F0">
              <w:rPr>
                <w:rFonts w:ascii="Arial" w:eastAsia="Times New Roman" w:hAnsi="Arial" w:cs="Calibri"/>
              </w:rPr>
              <w:t>Category</w:t>
            </w:r>
            <w:r w:rsidRPr="00F366F0">
              <w:rPr>
                <w:rFonts w:ascii="Arial" w:eastAsia="Times New Roman" w:hAnsi="Arial" w:cs="Calibri"/>
                <w:spacing w:val="24"/>
              </w:rPr>
              <w:t xml:space="preserve"> </w:t>
            </w:r>
            <w:r w:rsidRPr="00F366F0">
              <w:rPr>
                <w:rFonts w:ascii="Arial" w:eastAsia="Times New Roman" w:hAnsi="Arial" w:cs="Calibri"/>
              </w:rPr>
              <w:t>II</w:t>
            </w:r>
            <w:r w:rsidRPr="00F366F0">
              <w:rPr>
                <w:rFonts w:ascii="Arial" w:eastAsia="Times New Roman" w:hAnsi="Arial" w:cs="Calibri"/>
                <w:spacing w:val="31"/>
              </w:rPr>
              <w:t xml:space="preserve"> </w:t>
            </w:r>
            <w:r w:rsidRPr="00F366F0">
              <w:rPr>
                <w:rFonts w:ascii="Cambria Math" w:eastAsia="Times New Roman" w:hAnsi="Cambria Math" w:cs="Cambria Math"/>
              </w:rPr>
              <w:t>‐</w:t>
            </w:r>
            <w:r w:rsidRPr="00F366F0">
              <w:rPr>
                <w:rFonts w:ascii="Arial" w:eastAsia="Times New Roman" w:hAnsi="Arial" w:cs="Calibri"/>
                <w:spacing w:val="32"/>
              </w:rPr>
              <w:t xml:space="preserve"> </w:t>
            </w:r>
            <w:r w:rsidRPr="00F366F0">
              <w:rPr>
                <w:rFonts w:ascii="Arial" w:eastAsia="Times New Roman" w:hAnsi="Arial" w:cs="Calibri"/>
              </w:rPr>
              <w:t>Refer</w:t>
            </w:r>
            <w:r w:rsidRPr="00F366F0">
              <w:rPr>
                <w:rFonts w:ascii="Arial" w:eastAsia="Times New Roman" w:hAnsi="Arial" w:cs="Calibri"/>
                <w:spacing w:val="27"/>
              </w:rPr>
              <w:t xml:space="preserve"> </w:t>
            </w:r>
            <w:r w:rsidRPr="00F366F0">
              <w:rPr>
                <w:rFonts w:ascii="Arial" w:eastAsia="Times New Roman" w:hAnsi="Arial" w:cs="Calibri"/>
              </w:rPr>
              <w:t>to</w:t>
            </w:r>
            <w:r w:rsidRPr="00F366F0">
              <w:rPr>
                <w:rFonts w:ascii="Arial" w:eastAsia="Times New Roman" w:hAnsi="Arial" w:cs="Calibri"/>
                <w:spacing w:val="31"/>
              </w:rPr>
              <w:t xml:space="preserve"> </w:t>
            </w:r>
            <w:r w:rsidRPr="00F366F0">
              <w:rPr>
                <w:rFonts w:ascii="Arial" w:eastAsia="Times New Roman" w:hAnsi="Arial" w:cs="Calibri"/>
              </w:rPr>
              <w:t>str</w:t>
            </w:r>
            <w:r w:rsidRPr="00F366F0">
              <w:rPr>
                <w:rFonts w:ascii="Arial" w:eastAsia="Times New Roman" w:hAnsi="Arial" w:cs="Calibri"/>
                <w:spacing w:val="2"/>
              </w:rPr>
              <w:t>o</w:t>
            </w:r>
            <w:r w:rsidRPr="00F366F0">
              <w:rPr>
                <w:rFonts w:ascii="Arial" w:eastAsia="Times New Roman" w:hAnsi="Arial" w:cs="Calibri"/>
              </w:rPr>
              <w:t>nger</w:t>
            </w:r>
            <w:r w:rsidRPr="00F366F0">
              <w:rPr>
                <w:rFonts w:ascii="Arial" w:eastAsia="Times New Roman" w:hAnsi="Arial" w:cs="Calibri"/>
                <w:spacing w:val="24"/>
              </w:rPr>
              <w:t xml:space="preserve"> </w:t>
            </w:r>
            <w:r w:rsidRPr="00F366F0">
              <w:rPr>
                <w:rFonts w:ascii="Arial" w:eastAsia="Times New Roman" w:hAnsi="Arial" w:cs="Calibri"/>
              </w:rPr>
              <w:t>ma</w:t>
            </w:r>
            <w:r w:rsidRPr="00F366F0">
              <w:rPr>
                <w:rFonts w:ascii="Arial" w:eastAsia="Times New Roman" w:hAnsi="Arial" w:cs="Calibri"/>
                <w:spacing w:val="1"/>
              </w:rPr>
              <w:t>n</w:t>
            </w:r>
            <w:r w:rsidRPr="00F366F0">
              <w:rPr>
                <w:rFonts w:ascii="Arial" w:eastAsia="Times New Roman" w:hAnsi="Arial" w:cs="Calibri"/>
              </w:rPr>
              <w:t>datory</w:t>
            </w:r>
            <w:r w:rsidRPr="00F366F0">
              <w:rPr>
                <w:rFonts w:ascii="Arial" w:eastAsia="Times New Roman" w:hAnsi="Arial" w:cs="Calibri"/>
                <w:spacing w:val="23"/>
              </w:rPr>
              <w:t xml:space="preserve"> </w:t>
            </w:r>
            <w:r w:rsidRPr="00F366F0">
              <w:rPr>
                <w:rFonts w:ascii="Arial" w:eastAsia="Times New Roman" w:hAnsi="Arial" w:cs="Calibri"/>
              </w:rPr>
              <w:t>applicat</w:t>
            </w:r>
            <w:r w:rsidRPr="00F366F0">
              <w:rPr>
                <w:rFonts w:ascii="Arial" w:eastAsia="Times New Roman" w:hAnsi="Arial" w:cs="Calibri"/>
                <w:spacing w:val="1"/>
              </w:rPr>
              <w:t>io</w:t>
            </w:r>
            <w:r w:rsidRPr="00F366F0">
              <w:rPr>
                <w:rFonts w:ascii="Arial" w:eastAsia="Times New Roman" w:hAnsi="Arial" w:cs="Calibri"/>
              </w:rPr>
              <w:t>n</w:t>
            </w:r>
            <w:r w:rsidRPr="00F366F0">
              <w:rPr>
                <w:rFonts w:ascii="Arial" w:eastAsia="Times New Roman" w:hAnsi="Arial" w:cs="Calibri"/>
                <w:spacing w:val="23"/>
              </w:rPr>
              <w:t xml:space="preserve"> </w:t>
            </w:r>
            <w:r w:rsidRPr="00F366F0">
              <w:rPr>
                <w:rFonts w:ascii="Arial" w:eastAsia="Times New Roman" w:hAnsi="Arial" w:cs="Calibri"/>
                <w:spacing w:val="1"/>
              </w:rPr>
              <w:t>o</w:t>
            </w:r>
            <w:r w:rsidRPr="00F366F0">
              <w:rPr>
                <w:rFonts w:ascii="Arial" w:eastAsia="Times New Roman" w:hAnsi="Arial" w:cs="Calibri"/>
              </w:rPr>
              <w:t>f</w:t>
            </w:r>
            <w:r w:rsidRPr="00F366F0">
              <w:rPr>
                <w:rFonts w:ascii="Arial" w:eastAsia="Times New Roman" w:hAnsi="Arial" w:cs="Calibri"/>
                <w:spacing w:val="30"/>
              </w:rPr>
              <w:t xml:space="preserve"> </w:t>
            </w:r>
            <w:r w:rsidRPr="00F366F0">
              <w:rPr>
                <w:rFonts w:ascii="Arial" w:eastAsia="Times New Roman" w:hAnsi="Arial" w:cs="Calibri"/>
              </w:rPr>
              <w:t>tools</w:t>
            </w:r>
            <w:r w:rsidRPr="00F366F0">
              <w:rPr>
                <w:rFonts w:ascii="Arial" w:eastAsia="Times New Roman" w:hAnsi="Arial" w:cs="Calibri"/>
                <w:spacing w:val="28"/>
              </w:rPr>
              <w:t xml:space="preserve"> </w:t>
            </w:r>
            <w:r w:rsidRPr="00F366F0">
              <w:rPr>
                <w:rFonts w:ascii="Arial" w:eastAsia="Times New Roman" w:hAnsi="Arial" w:cs="Calibri"/>
              </w:rPr>
              <w:t>such</w:t>
            </w:r>
            <w:r w:rsidRPr="00F366F0">
              <w:rPr>
                <w:rFonts w:ascii="Arial" w:eastAsia="Times New Roman" w:hAnsi="Arial" w:cs="Calibri"/>
                <w:spacing w:val="28"/>
              </w:rPr>
              <w:t xml:space="preserve"> </w:t>
            </w:r>
            <w:r w:rsidRPr="00F366F0">
              <w:rPr>
                <w:rFonts w:ascii="Arial" w:eastAsia="Times New Roman" w:hAnsi="Arial" w:cs="Calibri"/>
              </w:rPr>
              <w:t>as</w:t>
            </w:r>
            <w:r w:rsidRPr="00F366F0">
              <w:rPr>
                <w:rFonts w:ascii="Arial" w:eastAsia="Times New Roman" w:hAnsi="Arial" w:cs="Calibri"/>
                <w:spacing w:val="31"/>
              </w:rPr>
              <w:t xml:space="preserve"> </w:t>
            </w:r>
            <w:r w:rsidRPr="00F366F0">
              <w:rPr>
                <w:rFonts w:ascii="Arial" w:eastAsia="Times New Roman" w:hAnsi="Arial" w:cs="Calibri"/>
              </w:rPr>
              <w:t>orders,</w:t>
            </w:r>
            <w:r w:rsidRPr="00F366F0">
              <w:rPr>
                <w:rFonts w:ascii="Arial" w:eastAsia="Times New Roman" w:hAnsi="Arial" w:cs="Calibri"/>
                <w:spacing w:val="26"/>
              </w:rPr>
              <w:t xml:space="preserve"> </w:t>
            </w:r>
            <w:r w:rsidRPr="00F366F0">
              <w:rPr>
                <w:rFonts w:ascii="Arial" w:eastAsia="Times New Roman" w:hAnsi="Arial" w:cs="Calibri"/>
              </w:rPr>
              <w:t>suspensions</w:t>
            </w:r>
            <w:r w:rsidRPr="00F366F0">
              <w:rPr>
                <w:rFonts w:ascii="Arial" w:eastAsia="Times New Roman" w:hAnsi="Arial" w:cs="Calibri"/>
                <w:spacing w:val="22"/>
              </w:rPr>
              <w:t xml:space="preserve"> </w:t>
            </w:r>
            <w:r w:rsidRPr="00F366F0">
              <w:rPr>
                <w:rFonts w:ascii="Arial" w:eastAsia="Times New Roman" w:hAnsi="Arial" w:cs="Calibri"/>
              </w:rPr>
              <w:t>and possible</w:t>
            </w:r>
            <w:r w:rsidRPr="00F366F0">
              <w:rPr>
                <w:rFonts w:ascii="Arial" w:eastAsia="Times New Roman" w:hAnsi="Arial" w:cs="Calibri"/>
                <w:spacing w:val="-8"/>
              </w:rPr>
              <w:t xml:space="preserve"> </w:t>
            </w:r>
            <w:r w:rsidRPr="00F366F0">
              <w:rPr>
                <w:rFonts w:ascii="Arial" w:eastAsia="Times New Roman" w:hAnsi="Arial" w:cs="Calibri"/>
              </w:rPr>
              <w:t>cha</w:t>
            </w:r>
            <w:r w:rsidRPr="00F366F0">
              <w:rPr>
                <w:rFonts w:ascii="Arial" w:eastAsia="Times New Roman" w:hAnsi="Arial" w:cs="Calibri"/>
                <w:spacing w:val="1"/>
              </w:rPr>
              <w:t>r</w:t>
            </w:r>
            <w:r w:rsidRPr="00F366F0">
              <w:rPr>
                <w:rFonts w:ascii="Arial" w:eastAsia="Times New Roman" w:hAnsi="Arial" w:cs="Calibri"/>
              </w:rPr>
              <w:t>ges.</w:t>
            </w:r>
          </w:p>
        </w:tc>
      </w:tr>
      <w:tr w:rsidR="00F06066" w:rsidRPr="00F366F0" w14:paraId="69EB0DBB" w14:textId="77777777" w:rsidTr="00496BC1">
        <w:trPr>
          <w:trHeight w:hRule="exact" w:val="723"/>
        </w:trPr>
        <w:tc>
          <w:tcPr>
            <w:tcW w:w="10065" w:type="dxa"/>
            <w:gridSpan w:val="6"/>
            <w:tcBorders>
              <w:top w:val="single" w:sz="2" w:space="0" w:color="1F497C"/>
              <w:left w:val="single" w:sz="24" w:space="0" w:color="1F497C"/>
              <w:bottom w:val="single" w:sz="24" w:space="0" w:color="1F497C"/>
              <w:right w:val="single" w:sz="24" w:space="0" w:color="1F497C"/>
            </w:tcBorders>
          </w:tcPr>
          <w:p w14:paraId="69C5D35B" w14:textId="77777777" w:rsidR="00F06066" w:rsidRPr="00F366F0" w:rsidRDefault="00F06066" w:rsidP="00AB2342">
            <w:pPr>
              <w:widowControl w:val="0"/>
              <w:autoSpaceDE w:val="0"/>
              <w:autoSpaceDN w:val="0"/>
              <w:adjustRightInd w:val="0"/>
              <w:spacing w:before="2" w:after="0" w:line="130" w:lineRule="exact"/>
              <w:rPr>
                <w:rFonts w:ascii="Times New Roman" w:eastAsia="Times New Roman" w:hAnsi="Times New Roman" w:cs="Times New Roman"/>
                <w:sz w:val="13"/>
                <w:szCs w:val="13"/>
              </w:rPr>
            </w:pPr>
          </w:p>
          <w:p w14:paraId="654A2E9C" w14:textId="77777777" w:rsidR="00F06066" w:rsidRPr="00F366F0" w:rsidRDefault="00F06066" w:rsidP="00AB2342">
            <w:pPr>
              <w:widowControl w:val="0"/>
              <w:autoSpaceDE w:val="0"/>
              <w:autoSpaceDN w:val="0"/>
              <w:adjustRightInd w:val="0"/>
              <w:spacing w:after="0" w:line="240" w:lineRule="auto"/>
              <w:ind w:left="78" w:right="16"/>
              <w:rPr>
                <w:rFonts w:ascii="Times New Roman" w:eastAsia="Times New Roman" w:hAnsi="Times New Roman" w:cs="Times New Roman"/>
              </w:rPr>
            </w:pPr>
            <w:r w:rsidRPr="00F366F0">
              <w:rPr>
                <w:rFonts w:ascii="Arial" w:eastAsia="Times New Roman" w:hAnsi="Arial" w:cs="Calibri"/>
              </w:rPr>
              <w:t>Category</w:t>
            </w:r>
            <w:r w:rsidRPr="00F366F0">
              <w:rPr>
                <w:rFonts w:ascii="Arial" w:eastAsia="Times New Roman" w:hAnsi="Arial" w:cs="Calibri"/>
                <w:spacing w:val="6"/>
              </w:rPr>
              <w:t xml:space="preserve"> </w:t>
            </w:r>
            <w:r w:rsidRPr="00F366F0">
              <w:rPr>
                <w:rFonts w:ascii="Arial" w:eastAsia="Times New Roman" w:hAnsi="Arial" w:cs="Calibri"/>
              </w:rPr>
              <w:t>III</w:t>
            </w:r>
            <w:r w:rsidRPr="00F366F0">
              <w:rPr>
                <w:rFonts w:ascii="Arial" w:eastAsia="Times New Roman" w:hAnsi="Arial" w:cs="Calibri"/>
                <w:spacing w:val="12"/>
              </w:rPr>
              <w:t xml:space="preserve"> </w:t>
            </w:r>
            <w:r w:rsidRPr="00F366F0">
              <w:rPr>
                <w:rFonts w:ascii="Cambria Math" w:eastAsia="Times New Roman" w:hAnsi="Cambria Math" w:cs="Cambria Math"/>
              </w:rPr>
              <w:t>‐</w:t>
            </w:r>
            <w:r w:rsidRPr="00F366F0">
              <w:rPr>
                <w:rFonts w:ascii="Arial" w:eastAsia="Times New Roman" w:hAnsi="Arial" w:cs="Calibri"/>
                <w:spacing w:val="14"/>
              </w:rPr>
              <w:t xml:space="preserve"> </w:t>
            </w:r>
            <w:r w:rsidRPr="00F366F0">
              <w:rPr>
                <w:rFonts w:ascii="Arial" w:eastAsia="Times New Roman" w:hAnsi="Arial" w:cs="Calibri"/>
              </w:rPr>
              <w:t>Refer</w:t>
            </w:r>
            <w:r w:rsidRPr="00F366F0">
              <w:rPr>
                <w:rFonts w:ascii="Arial" w:eastAsia="Times New Roman" w:hAnsi="Arial" w:cs="Calibri"/>
                <w:spacing w:val="9"/>
              </w:rPr>
              <w:t xml:space="preserve"> </w:t>
            </w:r>
            <w:r w:rsidRPr="00F366F0">
              <w:rPr>
                <w:rFonts w:ascii="Arial" w:eastAsia="Times New Roman" w:hAnsi="Arial" w:cs="Calibri"/>
              </w:rPr>
              <w:t>to</w:t>
            </w:r>
            <w:r w:rsidRPr="00F366F0">
              <w:rPr>
                <w:rFonts w:ascii="Arial" w:eastAsia="Times New Roman" w:hAnsi="Arial" w:cs="Calibri"/>
                <w:spacing w:val="14"/>
              </w:rPr>
              <w:t xml:space="preserve"> </w:t>
            </w:r>
            <w:r w:rsidRPr="00F366F0">
              <w:rPr>
                <w:rFonts w:ascii="Arial" w:eastAsia="Times New Roman" w:hAnsi="Arial" w:cs="Calibri"/>
              </w:rPr>
              <w:t>the</w:t>
            </w:r>
            <w:r w:rsidRPr="00F366F0">
              <w:rPr>
                <w:rFonts w:ascii="Arial" w:eastAsia="Times New Roman" w:hAnsi="Arial" w:cs="Calibri"/>
                <w:spacing w:val="12"/>
              </w:rPr>
              <w:t xml:space="preserve"> </w:t>
            </w:r>
            <w:r w:rsidRPr="00F366F0">
              <w:rPr>
                <w:rFonts w:ascii="Arial" w:eastAsia="Times New Roman" w:hAnsi="Arial" w:cs="Calibri"/>
              </w:rPr>
              <w:t>strongest</w:t>
            </w:r>
            <w:r w:rsidRPr="00F366F0">
              <w:rPr>
                <w:rFonts w:ascii="Arial" w:eastAsia="Times New Roman" w:hAnsi="Arial" w:cs="Calibri"/>
                <w:spacing w:val="5"/>
              </w:rPr>
              <w:t xml:space="preserve"> </w:t>
            </w:r>
            <w:r w:rsidRPr="00F366F0">
              <w:rPr>
                <w:rFonts w:ascii="Arial" w:eastAsia="Times New Roman" w:hAnsi="Arial" w:cs="Calibri"/>
              </w:rPr>
              <w:t>m</w:t>
            </w:r>
            <w:r w:rsidRPr="00F366F0">
              <w:rPr>
                <w:rFonts w:ascii="Arial" w:eastAsia="Times New Roman" w:hAnsi="Arial" w:cs="Calibri"/>
                <w:spacing w:val="2"/>
              </w:rPr>
              <w:t>a</w:t>
            </w:r>
            <w:r w:rsidRPr="00F366F0">
              <w:rPr>
                <w:rFonts w:ascii="Arial" w:eastAsia="Times New Roman" w:hAnsi="Arial" w:cs="Calibri"/>
              </w:rPr>
              <w:t>ndatory</w:t>
            </w:r>
            <w:r w:rsidRPr="00F366F0">
              <w:rPr>
                <w:rFonts w:ascii="Arial" w:eastAsia="Times New Roman" w:hAnsi="Arial" w:cs="Calibri"/>
                <w:spacing w:val="4"/>
              </w:rPr>
              <w:t xml:space="preserve"> </w:t>
            </w:r>
            <w:r w:rsidRPr="00F366F0">
              <w:rPr>
                <w:rFonts w:ascii="Arial" w:eastAsia="Times New Roman" w:hAnsi="Arial" w:cs="Calibri"/>
              </w:rPr>
              <w:t>compliance</w:t>
            </w:r>
            <w:r w:rsidRPr="00F366F0">
              <w:rPr>
                <w:rFonts w:ascii="Arial" w:eastAsia="Times New Roman" w:hAnsi="Arial" w:cs="Calibri"/>
                <w:spacing w:val="5"/>
              </w:rPr>
              <w:t xml:space="preserve"> </w:t>
            </w:r>
            <w:r w:rsidRPr="00F366F0">
              <w:rPr>
                <w:rFonts w:ascii="Arial" w:eastAsia="Times New Roman" w:hAnsi="Arial" w:cs="Calibri"/>
              </w:rPr>
              <w:t>tools</w:t>
            </w:r>
            <w:r w:rsidRPr="00F366F0">
              <w:rPr>
                <w:rFonts w:ascii="Arial" w:eastAsia="Times New Roman" w:hAnsi="Arial" w:cs="Calibri"/>
                <w:spacing w:val="10"/>
              </w:rPr>
              <w:t xml:space="preserve"> </w:t>
            </w:r>
            <w:r w:rsidRPr="00F366F0">
              <w:rPr>
                <w:rFonts w:ascii="Arial" w:eastAsia="Times New Roman" w:hAnsi="Arial" w:cs="Calibri"/>
              </w:rPr>
              <w:t>such</w:t>
            </w:r>
            <w:r w:rsidRPr="00F366F0">
              <w:rPr>
                <w:rFonts w:ascii="Arial" w:eastAsia="Times New Roman" w:hAnsi="Arial" w:cs="Calibri"/>
                <w:spacing w:val="10"/>
              </w:rPr>
              <w:t xml:space="preserve"> </w:t>
            </w:r>
            <w:r w:rsidRPr="00F366F0">
              <w:rPr>
                <w:rFonts w:ascii="Arial" w:eastAsia="Times New Roman" w:hAnsi="Arial" w:cs="Calibri"/>
              </w:rPr>
              <w:t>as</w:t>
            </w:r>
            <w:r w:rsidRPr="00F366F0">
              <w:rPr>
                <w:rFonts w:ascii="Arial" w:eastAsia="Times New Roman" w:hAnsi="Arial" w:cs="Calibri"/>
                <w:spacing w:val="12"/>
              </w:rPr>
              <w:t xml:space="preserve"> </w:t>
            </w:r>
            <w:r w:rsidRPr="00F366F0">
              <w:rPr>
                <w:rFonts w:ascii="Arial" w:eastAsia="Times New Roman" w:hAnsi="Arial" w:cs="Calibri"/>
              </w:rPr>
              <w:t>t</w:t>
            </w:r>
            <w:r w:rsidRPr="00F366F0">
              <w:rPr>
                <w:rFonts w:ascii="Arial" w:eastAsia="Times New Roman" w:hAnsi="Arial" w:cs="Calibri"/>
                <w:spacing w:val="1"/>
              </w:rPr>
              <w:t>h</w:t>
            </w:r>
            <w:r w:rsidRPr="00F366F0">
              <w:rPr>
                <w:rFonts w:ascii="Arial" w:eastAsia="Times New Roman" w:hAnsi="Arial" w:cs="Calibri"/>
              </w:rPr>
              <w:t>e</w:t>
            </w:r>
            <w:r w:rsidRPr="00F366F0">
              <w:rPr>
                <w:rFonts w:ascii="Arial" w:eastAsia="Times New Roman" w:hAnsi="Arial" w:cs="Calibri"/>
                <w:spacing w:val="11"/>
              </w:rPr>
              <w:t xml:space="preserve"> </w:t>
            </w:r>
            <w:r w:rsidRPr="00F366F0">
              <w:rPr>
                <w:rFonts w:ascii="Arial" w:eastAsia="Times New Roman" w:hAnsi="Arial" w:cs="Calibri"/>
                <w:spacing w:val="1"/>
              </w:rPr>
              <w:t>lay</w:t>
            </w:r>
            <w:r w:rsidRPr="00F366F0">
              <w:rPr>
                <w:rFonts w:ascii="Arial" w:eastAsia="Times New Roman" w:hAnsi="Arial" w:cs="Calibri"/>
              </w:rPr>
              <w:t>ing</w:t>
            </w:r>
            <w:r w:rsidRPr="00F366F0">
              <w:rPr>
                <w:rFonts w:ascii="Arial" w:eastAsia="Times New Roman" w:hAnsi="Arial" w:cs="Calibri"/>
                <w:spacing w:val="9"/>
              </w:rPr>
              <w:t xml:space="preserve"> </w:t>
            </w:r>
            <w:r w:rsidRPr="00F366F0">
              <w:rPr>
                <w:rFonts w:ascii="Arial" w:eastAsia="Times New Roman" w:hAnsi="Arial" w:cs="Calibri"/>
                <w:spacing w:val="1"/>
              </w:rPr>
              <w:t>o</w:t>
            </w:r>
            <w:r w:rsidRPr="00F366F0">
              <w:rPr>
                <w:rFonts w:ascii="Arial" w:eastAsia="Times New Roman" w:hAnsi="Arial" w:cs="Calibri"/>
              </w:rPr>
              <w:t>f</w:t>
            </w:r>
            <w:r w:rsidRPr="00F366F0">
              <w:rPr>
                <w:rFonts w:ascii="Arial" w:eastAsia="Times New Roman" w:hAnsi="Arial" w:cs="Calibri"/>
                <w:spacing w:val="12"/>
              </w:rPr>
              <w:t xml:space="preserve"> </w:t>
            </w:r>
            <w:r w:rsidRPr="00F366F0">
              <w:rPr>
                <w:rFonts w:ascii="Arial" w:eastAsia="Times New Roman" w:hAnsi="Arial" w:cs="Calibri"/>
              </w:rPr>
              <w:t>cha</w:t>
            </w:r>
            <w:r w:rsidRPr="00F366F0">
              <w:rPr>
                <w:rFonts w:ascii="Arial" w:eastAsia="Times New Roman" w:hAnsi="Arial" w:cs="Calibri"/>
                <w:spacing w:val="2"/>
              </w:rPr>
              <w:t>r</w:t>
            </w:r>
            <w:r w:rsidRPr="00F366F0">
              <w:rPr>
                <w:rFonts w:ascii="Arial" w:eastAsia="Times New Roman" w:hAnsi="Arial" w:cs="Calibri"/>
              </w:rPr>
              <w:t>ges</w:t>
            </w:r>
            <w:r w:rsidRPr="00F366F0">
              <w:rPr>
                <w:rFonts w:ascii="Arial" w:eastAsia="Times New Roman" w:hAnsi="Arial" w:cs="Calibri"/>
                <w:spacing w:val="7"/>
              </w:rPr>
              <w:t xml:space="preserve"> </w:t>
            </w:r>
            <w:r w:rsidRPr="00F366F0">
              <w:rPr>
                <w:rFonts w:ascii="Arial" w:eastAsia="Times New Roman" w:hAnsi="Arial" w:cs="Calibri"/>
                <w:spacing w:val="1"/>
              </w:rPr>
              <w:t xml:space="preserve">or </w:t>
            </w:r>
            <w:r w:rsidRPr="00F366F0">
              <w:rPr>
                <w:rFonts w:ascii="Arial" w:eastAsia="Times New Roman" w:hAnsi="Arial" w:cs="Calibri"/>
              </w:rPr>
              <w:t>the</w:t>
            </w:r>
            <w:r w:rsidRPr="00F366F0">
              <w:rPr>
                <w:rFonts w:ascii="Arial" w:eastAsia="Times New Roman" w:hAnsi="Arial" w:cs="Calibri"/>
                <w:spacing w:val="-2"/>
              </w:rPr>
              <w:t xml:space="preserve"> </w:t>
            </w:r>
            <w:r w:rsidRPr="00F366F0">
              <w:rPr>
                <w:rFonts w:ascii="Arial" w:eastAsia="Times New Roman" w:hAnsi="Arial" w:cs="Calibri"/>
              </w:rPr>
              <w:t>Restoration Orders.</w:t>
            </w:r>
          </w:p>
        </w:tc>
      </w:tr>
    </w:tbl>
    <w:p w14:paraId="72DE6C16" w14:textId="77777777" w:rsidR="00F06066" w:rsidRDefault="00F06066" w:rsidP="006E6429">
      <w:pPr>
        <w:pStyle w:val="Heading2"/>
      </w:pPr>
      <w:bookmarkStart w:id="76" w:name="_Toc74895915"/>
      <w:r>
        <w:lastRenderedPageBreak/>
        <w:t>Environmental Monitoring</w:t>
      </w:r>
      <w:bookmarkEnd w:id="76"/>
    </w:p>
    <w:p w14:paraId="20419408" w14:textId="77777777" w:rsidR="0003039F" w:rsidRPr="0003039F" w:rsidRDefault="0003039F" w:rsidP="00F06066">
      <w:pPr>
        <w:jc w:val="both"/>
        <w:rPr>
          <w:sz w:val="2"/>
          <w:szCs w:val="2"/>
        </w:rPr>
      </w:pPr>
    </w:p>
    <w:p w14:paraId="52D25880" w14:textId="07173464" w:rsidR="00F06066" w:rsidRPr="00354D71" w:rsidRDefault="00F06066" w:rsidP="0003039F">
      <w:pPr>
        <w:jc w:val="both"/>
        <w:rPr>
          <w:szCs w:val="24"/>
        </w:rPr>
      </w:pPr>
      <w:r w:rsidRPr="00354D71">
        <w:rPr>
          <w:szCs w:val="24"/>
        </w:rPr>
        <w:t xml:space="preserve">The NEC’s work regarding monitoring relates primarily to providing information on location of plots, providing information and orientation to students, and being the custodian of the monitoring data that is collected.  The monitoring field work is undertaken by university students. The NEC’s role in monitoring is derived from NEP policies that recognize the need for monitoring and development of performance indicators. In addition, the NEC’s monitoring work is an example of the collaborative relationships envisioned in functioning biosphere reserves.  Many biosphere reserves in Canada undertake similar monitoring, which provides a network of sites with data that can be used to assess impacts of sustainable development initiatives.  </w:t>
      </w:r>
    </w:p>
    <w:p w14:paraId="6A9A098E" w14:textId="77777777" w:rsidR="00F06066" w:rsidRPr="00354D71" w:rsidRDefault="00F06066" w:rsidP="0003039F">
      <w:pPr>
        <w:jc w:val="both"/>
        <w:rPr>
          <w:szCs w:val="24"/>
        </w:rPr>
      </w:pPr>
      <w:r w:rsidRPr="00354D71">
        <w:rPr>
          <w:szCs w:val="24"/>
        </w:rPr>
        <w:t>The purpose of these one-hectare plots is to collect quantitative data on forest biodiversity, growth, mortality and health to examine change over time in Niagara Escarpment forests. This information may be used to assess the impacts of development, recreational uses, tree disease, forest pests, invasive species and climate change on forest ecosystems.</w:t>
      </w:r>
    </w:p>
    <w:p w14:paraId="326D6B5F" w14:textId="77777777" w:rsidR="00F06066" w:rsidRPr="00354D71" w:rsidRDefault="00F06066" w:rsidP="0003039F">
      <w:pPr>
        <w:jc w:val="both"/>
        <w:rPr>
          <w:szCs w:val="24"/>
        </w:rPr>
      </w:pPr>
      <w:r w:rsidRPr="00354D71">
        <w:rPr>
          <w:szCs w:val="24"/>
        </w:rPr>
        <w:t xml:space="preserve">As reported in </w:t>
      </w:r>
      <w:r>
        <w:rPr>
          <w:szCs w:val="24"/>
        </w:rPr>
        <w:t>previously</w:t>
      </w:r>
      <w:r w:rsidRPr="00354D71">
        <w:rPr>
          <w:szCs w:val="24"/>
        </w:rPr>
        <w:t xml:space="preserve">, </w:t>
      </w:r>
      <w:r>
        <w:rPr>
          <w:szCs w:val="24"/>
        </w:rPr>
        <w:t>t</w:t>
      </w:r>
      <w:r w:rsidRPr="00354D71">
        <w:rPr>
          <w:szCs w:val="24"/>
        </w:rPr>
        <w:t>he monitoring partnership with the University of Waterloo was terminated in 2020 due to its changing academic program.  The plot-based monitoring pro</w:t>
      </w:r>
      <w:r>
        <w:rPr>
          <w:szCs w:val="24"/>
        </w:rPr>
        <w:t xml:space="preserve">gram </w:t>
      </w:r>
      <w:r w:rsidRPr="00354D71">
        <w:rPr>
          <w:szCs w:val="24"/>
        </w:rPr>
        <w:t xml:space="preserve">is heralded as a resounding success and is among the longest running plot-based biodiversity monitoring in Ontario.  The NEC is in currently looking </w:t>
      </w:r>
      <w:r>
        <w:rPr>
          <w:szCs w:val="24"/>
        </w:rPr>
        <w:t>in</w:t>
      </w:r>
      <w:r w:rsidRPr="00354D71">
        <w:rPr>
          <w:szCs w:val="24"/>
        </w:rPr>
        <w:t xml:space="preserve">to </w:t>
      </w:r>
      <w:r>
        <w:rPr>
          <w:szCs w:val="24"/>
        </w:rPr>
        <w:t xml:space="preserve">the development of </w:t>
      </w:r>
      <w:r w:rsidRPr="00354D71">
        <w:rPr>
          <w:szCs w:val="24"/>
        </w:rPr>
        <w:t xml:space="preserve">alternative partnerships and agencies who may wish to </w:t>
      </w:r>
      <w:r>
        <w:rPr>
          <w:szCs w:val="24"/>
        </w:rPr>
        <w:t xml:space="preserve">continue the legacy of monitoring on </w:t>
      </w:r>
      <w:r w:rsidRPr="00354D71">
        <w:rPr>
          <w:szCs w:val="24"/>
        </w:rPr>
        <w:t xml:space="preserve">these sites into the future. </w:t>
      </w:r>
    </w:p>
    <w:p w14:paraId="2ABCECBC" w14:textId="77777777" w:rsidR="00F06066" w:rsidRDefault="00F06066" w:rsidP="00F06066">
      <w:r>
        <w:br w:type="page"/>
      </w:r>
    </w:p>
    <w:p w14:paraId="2CD2BE3E" w14:textId="77777777" w:rsidR="00F06066" w:rsidRDefault="00F06066" w:rsidP="00F06066"/>
    <w:p w14:paraId="2BD9111D" w14:textId="77777777" w:rsidR="00F06066" w:rsidRDefault="00F06066" w:rsidP="006E6429">
      <w:pPr>
        <w:pStyle w:val="Heading2"/>
      </w:pPr>
      <w:bookmarkStart w:id="77" w:name="_Toc74895916"/>
      <w:bookmarkStart w:id="78" w:name="_Toc44333631"/>
      <w:r>
        <w:t>Niagara Escarpment Biosphere</w:t>
      </w:r>
      <w:bookmarkEnd w:id="77"/>
      <w:r>
        <w:t xml:space="preserve"> </w:t>
      </w:r>
      <w:bookmarkEnd w:id="78"/>
    </w:p>
    <w:p w14:paraId="41724F0A" w14:textId="77777777" w:rsidR="00F06066" w:rsidRPr="00AA2C91" w:rsidRDefault="00F06066" w:rsidP="00F06066">
      <w:pPr>
        <w:rPr>
          <w:b/>
        </w:rPr>
      </w:pPr>
      <w:r>
        <w:rPr>
          <w:b/>
        </w:rPr>
        <w:t>Developing a New Leadership Model for the NEB</w:t>
      </w:r>
    </w:p>
    <w:p w14:paraId="594F13BD" w14:textId="3F1C169E" w:rsidR="00F06066" w:rsidRPr="00345173" w:rsidRDefault="00F06066" w:rsidP="0003039F">
      <w:pPr>
        <w:jc w:val="both"/>
        <w:rPr>
          <w:szCs w:val="24"/>
        </w:rPr>
      </w:pPr>
      <w:r w:rsidRPr="00345173">
        <w:rPr>
          <w:szCs w:val="24"/>
        </w:rPr>
        <w:t xml:space="preserve">The Niagara Escarpment was designated a United Nations Educational, Scientific and Cultural Organization (UNESCO) World Biosphere in 1990. The Niagara Escarpment Biosphere NEB is one of </w:t>
      </w:r>
      <w:r w:rsidR="002E5040">
        <w:rPr>
          <w:szCs w:val="24"/>
        </w:rPr>
        <w:t>714</w:t>
      </w:r>
      <w:r w:rsidR="002E5040" w:rsidRPr="00345173">
        <w:rPr>
          <w:szCs w:val="24"/>
        </w:rPr>
        <w:t xml:space="preserve"> </w:t>
      </w:r>
      <w:r w:rsidRPr="00345173">
        <w:rPr>
          <w:szCs w:val="24"/>
        </w:rPr>
        <w:t xml:space="preserve">biosphere reserves across the world and one of 18 across Canada, which recognize interdisciplinary approaches to balancing conservation of cultural and biological diversity with economic and social development. The land-use planning regime provided by the NEP is the foundation for this prestigious designation. </w:t>
      </w:r>
    </w:p>
    <w:p w14:paraId="49B52316" w14:textId="77777777" w:rsidR="00F06066" w:rsidRPr="00345173" w:rsidRDefault="00F06066" w:rsidP="0003039F">
      <w:pPr>
        <w:jc w:val="both"/>
        <w:rPr>
          <w:szCs w:val="24"/>
        </w:rPr>
      </w:pPr>
      <w:r w:rsidRPr="00345173">
        <w:rPr>
          <w:szCs w:val="24"/>
        </w:rPr>
        <w:t xml:space="preserve">The Transitional Leadership Committee (TLC) formed in 2019 continues to act as the interim convenor of the NEBR. The Committee is led by four (4) community individuals who were self-selected with the input of the NEB network. This interim Committee is tasked with finalizing a permanent governance structure for the NEB, developing a communications plan to better engage the overall network, and exploring options for a co-management/co-leadership model with indigenous communities.  </w:t>
      </w:r>
    </w:p>
    <w:p w14:paraId="450FCC46" w14:textId="77777777" w:rsidR="00F06066" w:rsidRPr="00345173" w:rsidRDefault="00F06066" w:rsidP="0003039F">
      <w:pPr>
        <w:jc w:val="both"/>
        <w:rPr>
          <w:szCs w:val="24"/>
        </w:rPr>
      </w:pPr>
      <w:r w:rsidRPr="00345173">
        <w:rPr>
          <w:szCs w:val="24"/>
        </w:rPr>
        <w:t>The transition process has continued to move forward, aided significantly by post-graduate students from Niagara College's Environmental Management &amp; Assessment Program. Focus has included developing stakeholder outreach tools and researching funding avenues</w:t>
      </w:r>
      <w:r>
        <w:rPr>
          <w:szCs w:val="24"/>
        </w:rPr>
        <w:t>, and i</w:t>
      </w:r>
      <w:r w:rsidRPr="00345173">
        <w:rPr>
          <w:szCs w:val="24"/>
        </w:rPr>
        <w:t xml:space="preserve">n anticipation of the 2024 Periodic Review of the Biosphere, </w:t>
      </w:r>
      <w:r>
        <w:rPr>
          <w:szCs w:val="24"/>
        </w:rPr>
        <w:t xml:space="preserve">focusing on areas of improvement identified through the last Periodic Review. </w:t>
      </w:r>
    </w:p>
    <w:p w14:paraId="0A1C65A3" w14:textId="77777777" w:rsidR="00F06066" w:rsidRPr="007E397D" w:rsidRDefault="00F06066" w:rsidP="0003039F">
      <w:pPr>
        <w:jc w:val="both"/>
        <w:rPr>
          <w:rFonts w:cstheme="minorHAnsi"/>
          <w:b/>
          <w:szCs w:val="24"/>
        </w:rPr>
      </w:pPr>
      <w:r w:rsidRPr="007E397D">
        <w:rPr>
          <w:rFonts w:cstheme="minorHAnsi"/>
          <w:b/>
          <w:szCs w:val="24"/>
        </w:rPr>
        <w:t>Indigenous Engagement and Participation in the NEB</w:t>
      </w:r>
    </w:p>
    <w:p w14:paraId="7E73C746" w14:textId="77777777" w:rsidR="00F06066" w:rsidRPr="005C0703" w:rsidRDefault="00F06066" w:rsidP="0003039F">
      <w:pPr>
        <w:jc w:val="both"/>
        <w:rPr>
          <w:szCs w:val="24"/>
        </w:rPr>
      </w:pPr>
      <w:r w:rsidRPr="005C0703">
        <w:rPr>
          <w:szCs w:val="24"/>
        </w:rPr>
        <w:t xml:space="preserve">Indigenous communities have a long history and unique relationship with the Niagara Escarpment. Indigenous individuals and groups with Treaty lands and interests on the Niagara Escarpment are central to the NEB realizing the full understanding of its natural and cultural history. </w:t>
      </w:r>
    </w:p>
    <w:p w14:paraId="3AB0B6F3" w14:textId="69548BCC" w:rsidR="00F06066" w:rsidRPr="00D86DF8" w:rsidRDefault="004C42D2" w:rsidP="0003039F">
      <w:pPr>
        <w:jc w:val="both"/>
        <w:rPr>
          <w:b/>
          <w:bCs/>
        </w:rPr>
      </w:pPr>
      <w:r w:rsidRPr="00345173">
        <w:rPr>
          <w:szCs w:val="24"/>
        </w:rPr>
        <w:t xml:space="preserve">The </w:t>
      </w:r>
      <w:r>
        <w:rPr>
          <w:szCs w:val="24"/>
        </w:rPr>
        <w:t>TLC</w:t>
      </w:r>
      <w:r w:rsidRPr="00345173">
        <w:rPr>
          <w:szCs w:val="24"/>
        </w:rPr>
        <w:t xml:space="preserve"> of the NEB</w:t>
      </w:r>
      <w:r w:rsidR="00F06066" w:rsidRPr="00345173">
        <w:rPr>
          <w:szCs w:val="24"/>
        </w:rPr>
        <w:t xml:space="preserve"> has at its core the objective to build meaningful and collaborative relationships with Indigenous communities. The TLC aims to achieve this by continuing to have conversations and listen to shared experiences and stories from the Communities. The NEB TLC has determined that consistent with the 2012 UNESCO Periodic Review </w:t>
      </w:r>
      <w:r w:rsidR="00F06066">
        <w:rPr>
          <w:szCs w:val="24"/>
        </w:rPr>
        <w:t>recommendation</w:t>
      </w:r>
      <w:r w:rsidR="00F06066" w:rsidRPr="00345173">
        <w:rPr>
          <w:szCs w:val="24"/>
        </w:rPr>
        <w:t xml:space="preserve"> to </w:t>
      </w:r>
      <w:r w:rsidR="00F06066" w:rsidRPr="00345173">
        <w:rPr>
          <w:rFonts w:cstheme="minorHAnsi"/>
          <w:szCs w:val="24"/>
        </w:rPr>
        <w:t>embark in a meaningful engagement with Indigenous communities</w:t>
      </w:r>
      <w:r w:rsidR="00F06066">
        <w:rPr>
          <w:rFonts w:cstheme="minorHAnsi"/>
          <w:szCs w:val="24"/>
        </w:rPr>
        <w:t>, that</w:t>
      </w:r>
      <w:r w:rsidR="00F06066" w:rsidRPr="00345173">
        <w:rPr>
          <w:rFonts w:cstheme="minorHAnsi"/>
          <w:szCs w:val="24"/>
        </w:rPr>
        <w:t xml:space="preserve"> it would be appropriate to have Indigenous co-management of the NEB Transition</w:t>
      </w:r>
      <w:r w:rsidR="00F06066">
        <w:rPr>
          <w:rFonts w:cstheme="minorHAnsi"/>
          <w:szCs w:val="24"/>
        </w:rPr>
        <w:t>. The TLC</w:t>
      </w:r>
      <w:r w:rsidR="00F06066" w:rsidRPr="00345173">
        <w:rPr>
          <w:rFonts w:cstheme="minorHAnsi"/>
          <w:szCs w:val="24"/>
        </w:rPr>
        <w:t xml:space="preserve"> is currently exploring how best to</w:t>
      </w:r>
      <w:r w:rsidR="00F06066" w:rsidRPr="00823427">
        <w:rPr>
          <w:rFonts w:cstheme="minorHAnsi"/>
          <w:szCs w:val="24"/>
        </w:rPr>
        <w:t xml:space="preserve"> </w:t>
      </w:r>
      <w:r w:rsidR="00F06066">
        <w:rPr>
          <w:rFonts w:cstheme="minorHAnsi"/>
          <w:szCs w:val="24"/>
        </w:rPr>
        <w:t>achieve this</w:t>
      </w:r>
      <w:r w:rsidR="00F06066" w:rsidRPr="00823427">
        <w:rPr>
          <w:rFonts w:cstheme="minorHAnsi"/>
          <w:szCs w:val="24"/>
        </w:rPr>
        <w:t xml:space="preserve">, along with Indigenous peoples, </w:t>
      </w:r>
      <w:r w:rsidR="00F06066">
        <w:rPr>
          <w:rFonts w:cstheme="minorHAnsi"/>
          <w:szCs w:val="24"/>
        </w:rPr>
        <w:t>and guided by Indigenous Consultant</w:t>
      </w:r>
      <w:r w:rsidR="00F06066" w:rsidRPr="00823427">
        <w:rPr>
          <w:rFonts w:cstheme="minorHAnsi"/>
          <w:szCs w:val="24"/>
        </w:rPr>
        <w:t xml:space="preserve"> Plenty</w:t>
      </w:r>
      <w:r w:rsidR="00F06066">
        <w:rPr>
          <w:rFonts w:cstheme="minorHAnsi"/>
          <w:szCs w:val="24"/>
        </w:rPr>
        <w:t xml:space="preserve"> </w:t>
      </w:r>
      <w:r w:rsidR="00F06066" w:rsidRPr="00823427">
        <w:rPr>
          <w:rFonts w:cstheme="minorHAnsi"/>
          <w:szCs w:val="24"/>
        </w:rPr>
        <w:t>Canada</w:t>
      </w:r>
      <w:r w:rsidR="00F06066">
        <w:rPr>
          <w:rFonts w:cstheme="minorHAnsi"/>
          <w:szCs w:val="24"/>
        </w:rPr>
        <w:t xml:space="preserve">. </w:t>
      </w:r>
    </w:p>
    <w:p w14:paraId="7DA3BFA7" w14:textId="77777777" w:rsidR="00D130F2" w:rsidRDefault="00D130F2">
      <w:pPr>
        <w:rPr>
          <w:rFonts w:asciiTheme="majorHAnsi" w:eastAsiaTheme="majorEastAsia" w:hAnsiTheme="majorHAnsi" w:cstheme="majorBidi"/>
          <w:b/>
          <w:bCs/>
          <w:sz w:val="32"/>
          <w:szCs w:val="26"/>
        </w:rPr>
      </w:pPr>
      <w:bookmarkStart w:id="79" w:name="_Toc44333632"/>
      <w:r>
        <w:br w:type="page"/>
      </w:r>
    </w:p>
    <w:p w14:paraId="59CBAB62" w14:textId="73A78B9B" w:rsidR="00E6522D" w:rsidRDefault="00E6522D" w:rsidP="00D130F2">
      <w:pPr>
        <w:pStyle w:val="Heading2"/>
      </w:pPr>
      <w:bookmarkStart w:id="80" w:name="_Toc74895917"/>
      <w:r>
        <w:lastRenderedPageBreak/>
        <w:t>Performance Measures</w:t>
      </w:r>
      <w:bookmarkEnd w:id="79"/>
      <w:bookmarkEnd w:id="80"/>
    </w:p>
    <w:p w14:paraId="3F06003E" w14:textId="77777777" w:rsidR="0003039F" w:rsidRDefault="0003039F" w:rsidP="00E6522D">
      <w:pPr>
        <w:pStyle w:val="NoSpacing"/>
        <w:jc w:val="both"/>
      </w:pPr>
    </w:p>
    <w:p w14:paraId="757AAF1B" w14:textId="5BD6158F" w:rsidR="00E6522D" w:rsidRPr="00B11898" w:rsidRDefault="00E6522D" w:rsidP="0003039F">
      <w:pPr>
        <w:pStyle w:val="NoSpacing"/>
        <w:spacing w:line="276" w:lineRule="auto"/>
        <w:jc w:val="both"/>
      </w:pPr>
      <w:r w:rsidRPr="00B11898">
        <w:t>Performance measurement provides benchmarks for evaluation of agency effectiveness, efficiency, quality of service and accountability of action. The NEC has established performance measures to help provide important information on the time it takes to process applications, how access is provided to a variety of stakeholders and to what extent agency decisions are in conformity with NEP policies.</w:t>
      </w:r>
    </w:p>
    <w:p w14:paraId="7E9C9D36" w14:textId="77777777" w:rsidR="00E6522D" w:rsidRPr="00B11898" w:rsidRDefault="00E6522D" w:rsidP="0003039F">
      <w:pPr>
        <w:pStyle w:val="NoSpacing"/>
        <w:spacing w:line="276" w:lineRule="auto"/>
        <w:jc w:val="both"/>
      </w:pPr>
    </w:p>
    <w:p w14:paraId="59480AF0" w14:textId="0782B1BC" w:rsidR="00E6522D" w:rsidRPr="00B11898" w:rsidRDefault="00E6522D" w:rsidP="0003039F">
      <w:pPr>
        <w:pStyle w:val="NoSpacing"/>
        <w:spacing w:line="276" w:lineRule="auto"/>
        <w:jc w:val="both"/>
      </w:pPr>
      <w:r w:rsidRPr="00B11898">
        <w:t>By monitoring performance, the NEC can evaluate the effectiveness of policies and quality standards and/or practices in meeting its approved performance goals. All of the following measures were met in 20</w:t>
      </w:r>
      <w:r>
        <w:t>20-2021.</w:t>
      </w:r>
      <w:r w:rsidRPr="00B11898">
        <w:t xml:space="preserve">   Program implementation has been further enhanced through the continuation of </w:t>
      </w:r>
      <w:r>
        <w:t>b</w:t>
      </w:r>
      <w:r w:rsidRPr="00B11898">
        <w:t xml:space="preserve">usiness </w:t>
      </w:r>
      <w:r>
        <w:t>p</w:t>
      </w:r>
      <w:r w:rsidRPr="00B11898">
        <w:t xml:space="preserve">rocess </w:t>
      </w:r>
      <w:r>
        <w:t>m</w:t>
      </w:r>
      <w:r w:rsidRPr="00B11898">
        <w:t>apping and the continued implementation of the NEC’s Operational Strategy.</w:t>
      </w:r>
    </w:p>
    <w:p w14:paraId="3BD88FCD" w14:textId="77777777" w:rsidR="00E6522D" w:rsidRDefault="00E6522D" w:rsidP="00E6522D"/>
    <w:tbl>
      <w:tblPr>
        <w:tblStyle w:val="LightGrid-Accent3"/>
        <w:tblW w:w="10350" w:type="dxa"/>
        <w:tblInd w:w="-612" w:type="dxa"/>
        <w:tblLayout w:type="fixed"/>
        <w:tblLook w:val="04A0" w:firstRow="1" w:lastRow="0" w:firstColumn="1" w:lastColumn="0" w:noHBand="0" w:noVBand="1"/>
      </w:tblPr>
      <w:tblGrid>
        <w:gridCol w:w="2308"/>
        <w:gridCol w:w="3992"/>
        <w:gridCol w:w="4050"/>
      </w:tblGrid>
      <w:tr w:rsidR="00E6522D" w:rsidRPr="003018E8" w14:paraId="0FF7F60E" w14:textId="77777777" w:rsidTr="004D7CB9">
        <w:trPr>
          <w:cnfStyle w:val="100000000000" w:firstRow="1" w:lastRow="0" w:firstColumn="0" w:lastColumn="0" w:oddVBand="0" w:evenVBand="0" w:oddHBand="0" w:evenHBand="0" w:firstRowFirstColumn="0" w:firstRowLastColumn="0" w:lastRowFirstColumn="0" w:lastRowLastColumn="0"/>
          <w:trHeight w:val="413"/>
          <w:tblHeader/>
        </w:trPr>
        <w:tc>
          <w:tcPr>
            <w:cnfStyle w:val="001000000000" w:firstRow="0" w:lastRow="0" w:firstColumn="1" w:lastColumn="0" w:oddVBand="0" w:evenVBand="0" w:oddHBand="0" w:evenHBand="0" w:firstRowFirstColumn="0" w:firstRowLastColumn="0" w:lastRowFirstColumn="0" w:lastRowLastColumn="0"/>
            <w:tcW w:w="2308" w:type="dxa"/>
            <w:tcBorders>
              <w:top w:val="single" w:sz="4" w:space="0" w:color="A5A5A5" w:themeColor="accent1" w:themeShade="BF"/>
              <w:left w:val="single" w:sz="4" w:space="0" w:color="A5A5A5" w:themeColor="accent1" w:themeShade="BF"/>
              <w:bottom w:val="single" w:sz="4" w:space="0" w:color="A5A5A5" w:themeColor="accent1" w:themeShade="BF"/>
              <w:right w:val="single" w:sz="4" w:space="0" w:color="A5A5A5" w:themeColor="accent1" w:themeShade="BF"/>
            </w:tcBorders>
            <w:shd w:val="clear" w:color="auto" w:fill="F8F8F8" w:themeFill="accent1" w:themeFillTint="33"/>
            <w:vAlign w:val="center"/>
          </w:tcPr>
          <w:p w14:paraId="7E11738D" w14:textId="77777777" w:rsidR="00E6522D" w:rsidRPr="004D7CB9" w:rsidRDefault="00E6522D" w:rsidP="00AB2342">
            <w:pPr>
              <w:jc w:val="center"/>
              <w:rPr>
                <w:rFonts w:asciiTheme="minorHAnsi" w:eastAsia="Times New Roman" w:hAnsiTheme="minorHAnsi" w:cstheme="minorHAnsi"/>
                <w:sz w:val="22"/>
                <w:szCs w:val="20"/>
                <w:lang w:val="en-US"/>
              </w:rPr>
            </w:pPr>
            <w:r w:rsidRPr="004D7CB9">
              <w:rPr>
                <w:rFonts w:asciiTheme="minorHAnsi" w:eastAsia="Times New Roman" w:hAnsiTheme="minorHAnsi" w:cstheme="minorHAnsi"/>
                <w:sz w:val="22"/>
                <w:szCs w:val="20"/>
                <w:lang w:val="en-US"/>
              </w:rPr>
              <w:t>Activity</w:t>
            </w:r>
          </w:p>
        </w:tc>
        <w:tc>
          <w:tcPr>
            <w:tcW w:w="3992" w:type="dxa"/>
            <w:tcBorders>
              <w:top w:val="single" w:sz="4" w:space="0" w:color="A5A5A5" w:themeColor="accent1" w:themeShade="BF"/>
              <w:left w:val="single" w:sz="4" w:space="0" w:color="A5A5A5" w:themeColor="accent1" w:themeShade="BF"/>
              <w:bottom w:val="single" w:sz="4" w:space="0" w:color="A5A5A5" w:themeColor="accent1" w:themeShade="BF"/>
              <w:right w:val="single" w:sz="4" w:space="0" w:color="A5A5A5" w:themeColor="accent1" w:themeShade="BF"/>
            </w:tcBorders>
            <w:shd w:val="clear" w:color="auto" w:fill="F8F8F8" w:themeFill="accent1" w:themeFillTint="33"/>
            <w:vAlign w:val="center"/>
          </w:tcPr>
          <w:p w14:paraId="7E8ADE62" w14:textId="77777777" w:rsidR="00E6522D" w:rsidRPr="00B11898" w:rsidRDefault="00E6522D" w:rsidP="00AB234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lang w:val="en-US"/>
              </w:rPr>
            </w:pPr>
            <w:r w:rsidRPr="00B11898">
              <w:rPr>
                <w:rFonts w:asciiTheme="minorHAnsi" w:eastAsia="Times New Roman" w:hAnsiTheme="minorHAnsi" w:cstheme="minorHAnsi"/>
                <w:lang w:val="en-US"/>
              </w:rPr>
              <w:t>Measure</w:t>
            </w:r>
          </w:p>
        </w:tc>
        <w:tc>
          <w:tcPr>
            <w:tcW w:w="4050" w:type="dxa"/>
            <w:tcBorders>
              <w:top w:val="single" w:sz="4" w:space="0" w:color="A5A5A5" w:themeColor="accent1" w:themeShade="BF"/>
              <w:left w:val="single" w:sz="4" w:space="0" w:color="A5A5A5" w:themeColor="accent1" w:themeShade="BF"/>
              <w:bottom w:val="single" w:sz="4" w:space="0" w:color="A5A5A5" w:themeColor="accent1" w:themeShade="BF"/>
              <w:right w:val="single" w:sz="4" w:space="0" w:color="A5A5A5" w:themeColor="accent1" w:themeShade="BF"/>
            </w:tcBorders>
            <w:shd w:val="clear" w:color="auto" w:fill="F8F8F8" w:themeFill="accent1" w:themeFillTint="33"/>
            <w:vAlign w:val="center"/>
          </w:tcPr>
          <w:p w14:paraId="308240AD" w14:textId="77777777" w:rsidR="00E6522D" w:rsidRPr="00B11898" w:rsidRDefault="00E6522D" w:rsidP="00AB2342">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lang w:val="en-US"/>
              </w:rPr>
            </w:pPr>
            <w:r w:rsidRPr="00B11898">
              <w:rPr>
                <w:rFonts w:asciiTheme="minorHAnsi" w:eastAsia="Times New Roman" w:hAnsiTheme="minorHAnsi" w:cstheme="minorHAnsi"/>
                <w:lang w:val="en-US"/>
              </w:rPr>
              <w:t>Result</w:t>
            </w:r>
          </w:p>
        </w:tc>
      </w:tr>
      <w:tr w:rsidR="00E6522D" w:rsidRPr="003018E8" w14:paraId="2326C713" w14:textId="77777777" w:rsidTr="004D7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Borders>
              <w:top w:val="single" w:sz="4" w:space="0" w:color="A5A5A5" w:themeColor="accent1" w:themeShade="BF"/>
              <w:left w:val="single" w:sz="4" w:space="0" w:color="A5A5A5" w:themeColor="accent1" w:themeShade="BF"/>
              <w:bottom w:val="single" w:sz="4" w:space="0" w:color="A5A5A5" w:themeColor="accent1" w:themeShade="BF"/>
              <w:right w:val="single" w:sz="4" w:space="0" w:color="A5A5A5" w:themeColor="accent1" w:themeShade="BF"/>
            </w:tcBorders>
            <w:shd w:val="clear" w:color="auto" w:fill="auto"/>
          </w:tcPr>
          <w:p w14:paraId="36A73C52" w14:textId="77777777" w:rsidR="00E6522D" w:rsidRPr="004D7CB9" w:rsidRDefault="00E6522D" w:rsidP="00AB2342">
            <w:pPr>
              <w:rPr>
                <w:rFonts w:asciiTheme="minorHAnsi" w:eastAsia="Calibri" w:hAnsiTheme="minorHAnsi" w:cstheme="minorHAnsi"/>
                <w:sz w:val="22"/>
                <w:szCs w:val="20"/>
                <w:lang w:val="en-US"/>
              </w:rPr>
            </w:pPr>
            <w:r w:rsidRPr="004D7CB9">
              <w:rPr>
                <w:rFonts w:asciiTheme="minorHAnsi" w:eastAsia="Calibri" w:hAnsiTheme="minorHAnsi" w:cstheme="minorHAnsi"/>
                <w:sz w:val="22"/>
                <w:szCs w:val="20"/>
                <w:lang w:val="en-US"/>
              </w:rPr>
              <w:t xml:space="preserve">Preparation and Posting of Memorandum of Understanding (MOU), Business Plan and Annual Report </w:t>
            </w:r>
          </w:p>
          <w:p w14:paraId="48C1E955" w14:textId="77777777" w:rsidR="00E6522D" w:rsidRPr="004D7CB9" w:rsidRDefault="00E6522D" w:rsidP="00AB2342">
            <w:pPr>
              <w:rPr>
                <w:rFonts w:asciiTheme="minorHAnsi" w:eastAsia="Calibri" w:hAnsiTheme="minorHAnsi" w:cstheme="minorHAnsi"/>
                <w:sz w:val="22"/>
                <w:szCs w:val="20"/>
                <w:lang w:val="en-US"/>
              </w:rPr>
            </w:pPr>
          </w:p>
        </w:tc>
        <w:tc>
          <w:tcPr>
            <w:tcW w:w="3992" w:type="dxa"/>
            <w:tcBorders>
              <w:top w:val="single" w:sz="4" w:space="0" w:color="A5A5A5" w:themeColor="accent1" w:themeShade="BF"/>
              <w:left w:val="single" w:sz="4" w:space="0" w:color="A5A5A5" w:themeColor="accent1" w:themeShade="BF"/>
              <w:bottom w:val="single" w:sz="4" w:space="0" w:color="A5A5A5" w:themeColor="accent1" w:themeShade="BF"/>
              <w:right w:val="single" w:sz="4" w:space="0" w:color="A5A5A5" w:themeColor="accent1" w:themeShade="BF"/>
            </w:tcBorders>
            <w:shd w:val="clear" w:color="auto" w:fill="auto"/>
          </w:tcPr>
          <w:p w14:paraId="52215006" w14:textId="77777777" w:rsidR="00E6522D" w:rsidRPr="00B11898" w:rsidRDefault="00E6522D" w:rsidP="00AB2342">
            <w:pPr>
              <w:cnfStyle w:val="000000100000" w:firstRow="0" w:lastRow="0" w:firstColumn="0" w:lastColumn="0" w:oddVBand="0" w:evenVBand="0" w:oddHBand="1" w:evenHBand="0" w:firstRowFirstColumn="0" w:firstRowLastColumn="0" w:lastRowFirstColumn="0" w:lastRowLastColumn="0"/>
              <w:rPr>
                <w:rFonts w:eastAsia="Calibri" w:cstheme="minorHAnsi"/>
                <w:lang w:val="en-US"/>
              </w:rPr>
            </w:pPr>
            <w:r w:rsidRPr="00B11898">
              <w:rPr>
                <w:rFonts w:eastAsia="Calibri" w:cstheme="minorHAnsi"/>
                <w:lang w:val="en-US"/>
              </w:rPr>
              <w:t>2019 Agency and Appointments Directive requires Memorandum of Understanding (MOU), Business Plans, and Annual Reports be prepared, approved and then posted</w:t>
            </w:r>
            <w:r>
              <w:rPr>
                <w:rFonts w:eastAsia="Calibri" w:cstheme="minorHAnsi"/>
                <w:lang w:val="en-US"/>
              </w:rPr>
              <w:t xml:space="preserve"> on the NEC website</w:t>
            </w:r>
            <w:r w:rsidRPr="00B11898">
              <w:rPr>
                <w:rFonts w:eastAsia="Calibri" w:cstheme="minorHAnsi"/>
                <w:lang w:val="en-US"/>
              </w:rPr>
              <w:t xml:space="preserve">.  </w:t>
            </w:r>
          </w:p>
        </w:tc>
        <w:tc>
          <w:tcPr>
            <w:tcW w:w="4050" w:type="dxa"/>
            <w:tcBorders>
              <w:top w:val="single" w:sz="4" w:space="0" w:color="A5A5A5" w:themeColor="accent1" w:themeShade="BF"/>
              <w:left w:val="single" w:sz="4" w:space="0" w:color="A5A5A5" w:themeColor="accent1" w:themeShade="BF"/>
              <w:bottom w:val="single" w:sz="4" w:space="0" w:color="A5A5A5" w:themeColor="accent1" w:themeShade="BF"/>
              <w:right w:val="single" w:sz="4" w:space="0" w:color="A5A5A5" w:themeColor="accent1" w:themeShade="BF"/>
            </w:tcBorders>
            <w:shd w:val="clear" w:color="auto" w:fill="auto"/>
          </w:tcPr>
          <w:p w14:paraId="6307D077" w14:textId="77777777" w:rsidR="00E6522D" w:rsidRPr="00B11898" w:rsidRDefault="00E6522D" w:rsidP="00E6522D">
            <w:pPr>
              <w:pStyle w:val="ListParagraph"/>
              <w:numPr>
                <w:ilvl w:val="0"/>
                <w:numId w:val="28"/>
              </w:numPr>
              <w:ind w:left="162" w:hanging="162"/>
              <w:cnfStyle w:val="000000100000" w:firstRow="0" w:lastRow="0" w:firstColumn="0" w:lastColumn="0" w:oddVBand="0" w:evenVBand="0" w:oddHBand="1" w:evenHBand="0" w:firstRowFirstColumn="0" w:firstRowLastColumn="0" w:lastRowFirstColumn="0" w:lastRowLastColumn="0"/>
              <w:rPr>
                <w:rFonts w:eastAsia="Calibri" w:cstheme="minorHAnsi"/>
              </w:rPr>
            </w:pPr>
            <w:r w:rsidRPr="00B11898">
              <w:rPr>
                <w:rFonts w:eastAsia="Calibri" w:cstheme="minorHAnsi"/>
              </w:rPr>
              <w:t xml:space="preserve">MOU between Chair and Minister of Natural Resources and Forestry </w:t>
            </w:r>
            <w:r>
              <w:rPr>
                <w:rFonts w:eastAsia="Calibri" w:cstheme="minorHAnsi"/>
              </w:rPr>
              <w:t xml:space="preserve">was updated and signed by the Minister and Chair.  It is posted on the NEC’s website.  </w:t>
            </w:r>
          </w:p>
          <w:p w14:paraId="3DD560B6" w14:textId="670B57A2" w:rsidR="00E6522D" w:rsidRPr="00B11898" w:rsidRDefault="00E6522D" w:rsidP="00E6522D">
            <w:pPr>
              <w:pStyle w:val="ListParagraph"/>
              <w:numPr>
                <w:ilvl w:val="0"/>
                <w:numId w:val="28"/>
              </w:numPr>
              <w:ind w:left="162" w:hanging="162"/>
              <w:cnfStyle w:val="000000100000" w:firstRow="0" w:lastRow="0" w:firstColumn="0" w:lastColumn="0" w:oddVBand="0" w:evenVBand="0" w:oddHBand="1" w:evenHBand="0" w:firstRowFirstColumn="0" w:firstRowLastColumn="0" w:lastRowFirstColumn="0" w:lastRowLastColumn="0"/>
              <w:rPr>
                <w:rFonts w:eastAsia="Calibri" w:cstheme="minorHAnsi"/>
              </w:rPr>
            </w:pPr>
            <w:r>
              <w:rPr>
                <w:rFonts w:eastAsia="Calibri" w:cstheme="minorHAnsi"/>
              </w:rPr>
              <w:t xml:space="preserve">NEC prepared the 2021-2024 Business Plan and submitted it to the Minister by December 31, 2020.  </w:t>
            </w:r>
            <w:r w:rsidR="00455208">
              <w:rPr>
                <w:rFonts w:eastAsia="Calibri" w:cstheme="minorHAnsi"/>
              </w:rPr>
              <w:t>It was approved by the Minister in March 2021</w:t>
            </w:r>
            <w:r w:rsidR="00EC7F69">
              <w:rPr>
                <w:rFonts w:eastAsia="Calibri" w:cstheme="minorHAnsi"/>
              </w:rPr>
              <w:t>.</w:t>
            </w:r>
          </w:p>
          <w:p w14:paraId="3DEC0D25" w14:textId="7B64D9FA" w:rsidR="00E6522D" w:rsidRDefault="00E6522D" w:rsidP="00E6522D">
            <w:pPr>
              <w:pStyle w:val="ListParagraph"/>
              <w:numPr>
                <w:ilvl w:val="0"/>
                <w:numId w:val="28"/>
              </w:numPr>
              <w:ind w:left="162" w:hanging="162"/>
              <w:cnfStyle w:val="000000100000" w:firstRow="0" w:lastRow="0" w:firstColumn="0" w:lastColumn="0" w:oddVBand="0" w:evenVBand="0" w:oddHBand="1" w:evenHBand="0" w:firstRowFirstColumn="0" w:firstRowLastColumn="0" w:lastRowFirstColumn="0" w:lastRowLastColumn="0"/>
              <w:rPr>
                <w:rFonts w:eastAsia="Calibri" w:cstheme="minorHAnsi"/>
              </w:rPr>
            </w:pPr>
            <w:r w:rsidRPr="00B11898">
              <w:rPr>
                <w:rFonts w:eastAsia="Calibri" w:cstheme="minorHAnsi"/>
              </w:rPr>
              <w:t>20</w:t>
            </w:r>
            <w:r>
              <w:rPr>
                <w:rFonts w:eastAsia="Calibri" w:cstheme="minorHAnsi"/>
              </w:rPr>
              <w:t>19</w:t>
            </w:r>
            <w:r w:rsidRPr="00B11898">
              <w:rPr>
                <w:rFonts w:eastAsia="Calibri" w:cstheme="minorHAnsi"/>
              </w:rPr>
              <w:t>-</w:t>
            </w:r>
            <w:r>
              <w:rPr>
                <w:rFonts w:eastAsia="Calibri" w:cstheme="minorHAnsi"/>
              </w:rPr>
              <w:t>20</w:t>
            </w:r>
            <w:r w:rsidRPr="00B11898">
              <w:rPr>
                <w:rFonts w:eastAsia="Calibri" w:cstheme="minorHAnsi"/>
              </w:rPr>
              <w:t xml:space="preserve"> Annual Report </w:t>
            </w:r>
            <w:r>
              <w:rPr>
                <w:rFonts w:eastAsia="Calibri" w:cstheme="minorHAnsi"/>
              </w:rPr>
              <w:t xml:space="preserve">was submitted to the Minister in </w:t>
            </w:r>
            <w:proofErr w:type="gramStart"/>
            <w:r>
              <w:rPr>
                <w:rFonts w:eastAsia="Calibri" w:cstheme="minorHAnsi"/>
              </w:rPr>
              <w:t>June,</w:t>
            </w:r>
            <w:proofErr w:type="gramEnd"/>
            <w:r>
              <w:rPr>
                <w:rFonts w:eastAsia="Calibri" w:cstheme="minorHAnsi"/>
              </w:rPr>
              <w:t xml:space="preserve"> 2020.  </w:t>
            </w:r>
            <w:r w:rsidR="0040029D">
              <w:rPr>
                <w:rFonts w:eastAsia="Calibri" w:cstheme="minorHAnsi"/>
              </w:rPr>
              <w:t>It was approved by the Minister in July 2020.</w:t>
            </w:r>
          </w:p>
          <w:p w14:paraId="23C114EB" w14:textId="77777777" w:rsidR="00E6522D" w:rsidRPr="00032E06" w:rsidRDefault="00E6522D" w:rsidP="00E6522D">
            <w:pPr>
              <w:pStyle w:val="ListParagraph"/>
              <w:numPr>
                <w:ilvl w:val="0"/>
                <w:numId w:val="28"/>
              </w:numPr>
              <w:ind w:left="162" w:hanging="162"/>
              <w:cnfStyle w:val="000000100000" w:firstRow="0" w:lastRow="0" w:firstColumn="0" w:lastColumn="0" w:oddVBand="0" w:evenVBand="0" w:oddHBand="1" w:evenHBand="0" w:firstRowFirstColumn="0" w:firstRowLastColumn="0" w:lastRowFirstColumn="0" w:lastRowLastColumn="0"/>
              <w:rPr>
                <w:rFonts w:eastAsia="Calibri" w:cstheme="minorHAnsi"/>
              </w:rPr>
            </w:pPr>
            <w:r>
              <w:rPr>
                <w:rFonts w:eastAsia="Calibri" w:cstheme="minorHAnsi"/>
              </w:rPr>
              <w:t>The c</w:t>
            </w:r>
            <w:r w:rsidRPr="00032E06">
              <w:rPr>
                <w:rFonts w:eastAsia="Calibri" w:cstheme="minorHAnsi"/>
              </w:rPr>
              <w:t>urrently approved plans and MOU are posted here:</w:t>
            </w:r>
          </w:p>
          <w:p w14:paraId="682234CB" w14:textId="77777777" w:rsidR="00E6522D" w:rsidRDefault="00803A4B" w:rsidP="00AB2342">
            <w:pPr>
              <w:cnfStyle w:val="000000100000" w:firstRow="0" w:lastRow="0" w:firstColumn="0" w:lastColumn="0" w:oddVBand="0" w:evenVBand="0" w:oddHBand="1" w:evenHBand="0" w:firstRowFirstColumn="0" w:firstRowLastColumn="0" w:lastRowFirstColumn="0" w:lastRowLastColumn="0"/>
              <w:rPr>
                <w:rFonts w:eastAsia="Calibri" w:cstheme="minorHAnsi"/>
                <w:color w:val="0000FF"/>
                <w:u w:val="single"/>
                <w:lang w:val="en-US"/>
              </w:rPr>
            </w:pPr>
            <w:hyperlink r:id="rId26" w:history="1">
              <w:r w:rsidR="00E6522D" w:rsidRPr="00B11898">
                <w:rPr>
                  <w:rFonts w:eastAsia="Calibri" w:cstheme="minorHAnsi"/>
                  <w:color w:val="0000FF"/>
                  <w:u w:val="single"/>
                  <w:lang w:val="en-US"/>
                </w:rPr>
                <w:t>http://www.escarpment.org/commission/AgencyDirectiveReporting/index.php</w:t>
              </w:r>
            </w:hyperlink>
          </w:p>
          <w:p w14:paraId="414C31FE" w14:textId="14359F05" w:rsidR="000B47EE" w:rsidRPr="00B11898" w:rsidRDefault="000B47EE" w:rsidP="00AB2342">
            <w:pPr>
              <w:cnfStyle w:val="000000100000" w:firstRow="0" w:lastRow="0" w:firstColumn="0" w:lastColumn="0" w:oddVBand="0" w:evenVBand="0" w:oddHBand="1" w:evenHBand="0" w:firstRowFirstColumn="0" w:firstRowLastColumn="0" w:lastRowFirstColumn="0" w:lastRowLastColumn="0"/>
              <w:rPr>
                <w:rFonts w:eastAsia="Calibri" w:cstheme="minorHAnsi"/>
                <w:lang w:val="en-US"/>
              </w:rPr>
            </w:pPr>
          </w:p>
        </w:tc>
      </w:tr>
      <w:tr w:rsidR="00E6522D" w:rsidRPr="003018E8" w14:paraId="145ABB32" w14:textId="77777777" w:rsidTr="004D7C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Borders>
              <w:top w:val="single" w:sz="4" w:space="0" w:color="A5A5A5" w:themeColor="accent1" w:themeShade="BF"/>
              <w:left w:val="single" w:sz="4" w:space="0" w:color="A5A5A5" w:themeColor="accent1" w:themeShade="BF"/>
              <w:bottom w:val="single" w:sz="4" w:space="0" w:color="A5A5A5" w:themeColor="accent1" w:themeShade="BF"/>
              <w:right w:val="single" w:sz="4" w:space="0" w:color="A5A5A5" w:themeColor="accent1" w:themeShade="BF"/>
            </w:tcBorders>
            <w:shd w:val="clear" w:color="auto" w:fill="auto"/>
          </w:tcPr>
          <w:p w14:paraId="21AFE9AA" w14:textId="77777777" w:rsidR="00E6522D" w:rsidRPr="004D7CB9" w:rsidRDefault="00E6522D" w:rsidP="00AB2342">
            <w:pPr>
              <w:rPr>
                <w:rFonts w:asciiTheme="minorHAnsi" w:eastAsia="Calibri" w:hAnsiTheme="minorHAnsi" w:cstheme="minorHAnsi"/>
                <w:sz w:val="22"/>
                <w:szCs w:val="20"/>
                <w:lang w:val="en-US"/>
              </w:rPr>
            </w:pPr>
            <w:r w:rsidRPr="004D7CB9">
              <w:rPr>
                <w:rFonts w:asciiTheme="minorHAnsi" w:eastAsia="Calibri" w:hAnsiTheme="minorHAnsi" w:cstheme="minorHAnsi"/>
                <w:sz w:val="22"/>
                <w:szCs w:val="20"/>
                <w:lang w:val="en-US"/>
              </w:rPr>
              <w:t>Commission Meetings</w:t>
            </w:r>
          </w:p>
        </w:tc>
        <w:tc>
          <w:tcPr>
            <w:tcW w:w="3992" w:type="dxa"/>
            <w:tcBorders>
              <w:top w:val="single" w:sz="4" w:space="0" w:color="A5A5A5" w:themeColor="accent1" w:themeShade="BF"/>
              <w:left w:val="single" w:sz="4" w:space="0" w:color="A5A5A5" w:themeColor="accent1" w:themeShade="BF"/>
              <w:bottom w:val="single" w:sz="4" w:space="0" w:color="A5A5A5" w:themeColor="accent1" w:themeShade="BF"/>
              <w:right w:val="single" w:sz="4" w:space="0" w:color="A5A5A5" w:themeColor="accent1" w:themeShade="BF"/>
            </w:tcBorders>
            <w:shd w:val="clear" w:color="auto" w:fill="auto"/>
          </w:tcPr>
          <w:p w14:paraId="74A3D65A" w14:textId="77777777" w:rsidR="00E6522D" w:rsidRPr="00B11898" w:rsidRDefault="00E6522D" w:rsidP="00AB2342">
            <w:pPr>
              <w:cnfStyle w:val="000000010000" w:firstRow="0" w:lastRow="0" w:firstColumn="0" w:lastColumn="0" w:oddVBand="0" w:evenVBand="0" w:oddHBand="0" w:evenHBand="1" w:firstRowFirstColumn="0" w:firstRowLastColumn="0" w:lastRowFirstColumn="0" w:lastRowLastColumn="0"/>
              <w:rPr>
                <w:rFonts w:eastAsia="Calibri" w:cstheme="minorHAnsi"/>
                <w:lang w:val="en-US"/>
              </w:rPr>
            </w:pPr>
            <w:r w:rsidRPr="00B11898">
              <w:rPr>
                <w:rFonts w:eastAsia="Calibri" w:cstheme="minorHAnsi"/>
                <w:lang w:val="en-US"/>
              </w:rPr>
              <w:t xml:space="preserve">Minutes of Commission meetings are posted on the NEC website (www.escarpment.org).  </w:t>
            </w:r>
          </w:p>
          <w:p w14:paraId="4C63325B" w14:textId="77777777" w:rsidR="00E6522D" w:rsidRPr="00B11898" w:rsidRDefault="00E6522D" w:rsidP="00AB2342">
            <w:pPr>
              <w:cnfStyle w:val="000000010000" w:firstRow="0" w:lastRow="0" w:firstColumn="0" w:lastColumn="0" w:oddVBand="0" w:evenVBand="0" w:oddHBand="0" w:evenHBand="1" w:firstRowFirstColumn="0" w:firstRowLastColumn="0" w:lastRowFirstColumn="0" w:lastRowLastColumn="0"/>
              <w:rPr>
                <w:rFonts w:eastAsia="Calibri" w:cstheme="minorHAnsi"/>
                <w:lang w:val="en-US"/>
              </w:rPr>
            </w:pPr>
          </w:p>
          <w:p w14:paraId="148FAA0C" w14:textId="77777777" w:rsidR="00E6522D" w:rsidRPr="00B11898" w:rsidRDefault="00E6522D" w:rsidP="00AB2342">
            <w:pPr>
              <w:cnfStyle w:val="000000010000" w:firstRow="0" w:lastRow="0" w:firstColumn="0" w:lastColumn="0" w:oddVBand="0" w:evenVBand="0" w:oddHBand="0" w:evenHBand="1" w:firstRowFirstColumn="0" w:firstRowLastColumn="0" w:lastRowFirstColumn="0" w:lastRowLastColumn="0"/>
              <w:rPr>
                <w:rFonts w:eastAsia="Calibri" w:cstheme="minorHAnsi"/>
                <w:lang w:val="en-US"/>
              </w:rPr>
            </w:pPr>
            <w:r w:rsidRPr="00B11898">
              <w:rPr>
                <w:rFonts w:eastAsia="Calibri" w:cstheme="minorHAnsi"/>
                <w:lang w:val="en-US"/>
              </w:rPr>
              <w:t>Commission meetings are open to the public. Applicants and other stakeholders are provided opportunities to address the Commission in writing or in person.</w:t>
            </w:r>
          </w:p>
          <w:p w14:paraId="667B51CB" w14:textId="77777777" w:rsidR="00E6522D" w:rsidRPr="00B11898" w:rsidRDefault="00E6522D" w:rsidP="00AB2342">
            <w:pPr>
              <w:cnfStyle w:val="000000010000" w:firstRow="0" w:lastRow="0" w:firstColumn="0" w:lastColumn="0" w:oddVBand="0" w:evenVBand="0" w:oddHBand="0" w:evenHBand="1" w:firstRowFirstColumn="0" w:firstRowLastColumn="0" w:lastRowFirstColumn="0" w:lastRowLastColumn="0"/>
              <w:rPr>
                <w:rFonts w:eastAsia="Calibri" w:cstheme="minorHAnsi"/>
                <w:lang w:val="en-US"/>
              </w:rPr>
            </w:pPr>
          </w:p>
          <w:p w14:paraId="23FDC4DF" w14:textId="77777777" w:rsidR="00E6522D" w:rsidRPr="00B11898" w:rsidRDefault="00E6522D" w:rsidP="00AB2342">
            <w:pPr>
              <w:cnfStyle w:val="000000010000" w:firstRow="0" w:lastRow="0" w:firstColumn="0" w:lastColumn="0" w:oddVBand="0" w:evenVBand="0" w:oddHBand="0" w:evenHBand="1" w:firstRowFirstColumn="0" w:firstRowLastColumn="0" w:lastRowFirstColumn="0" w:lastRowLastColumn="0"/>
              <w:rPr>
                <w:rFonts w:eastAsia="Calibri" w:cstheme="minorHAnsi"/>
                <w:lang w:val="en-US"/>
              </w:rPr>
            </w:pPr>
          </w:p>
        </w:tc>
        <w:tc>
          <w:tcPr>
            <w:tcW w:w="4050" w:type="dxa"/>
            <w:tcBorders>
              <w:top w:val="single" w:sz="4" w:space="0" w:color="A5A5A5" w:themeColor="accent1" w:themeShade="BF"/>
              <w:left w:val="single" w:sz="4" w:space="0" w:color="A5A5A5" w:themeColor="accent1" w:themeShade="BF"/>
              <w:bottom w:val="single" w:sz="4" w:space="0" w:color="A5A5A5" w:themeColor="accent1" w:themeShade="BF"/>
              <w:right w:val="single" w:sz="4" w:space="0" w:color="A5A5A5" w:themeColor="accent1" w:themeShade="BF"/>
            </w:tcBorders>
            <w:shd w:val="clear" w:color="auto" w:fill="auto"/>
          </w:tcPr>
          <w:p w14:paraId="5976569B" w14:textId="77777777" w:rsidR="00E6522D" w:rsidRPr="00B11898" w:rsidRDefault="00E6522D" w:rsidP="00E6522D">
            <w:pPr>
              <w:pStyle w:val="ListParagraph"/>
              <w:numPr>
                <w:ilvl w:val="0"/>
                <w:numId w:val="28"/>
              </w:numPr>
              <w:ind w:left="162" w:hanging="162"/>
              <w:cnfStyle w:val="000000010000" w:firstRow="0" w:lastRow="0" w:firstColumn="0" w:lastColumn="0" w:oddVBand="0" w:evenVBand="0" w:oddHBand="0" w:evenHBand="1" w:firstRowFirstColumn="0" w:firstRowLastColumn="0" w:lastRowFirstColumn="0" w:lastRowLastColumn="0"/>
              <w:rPr>
                <w:rFonts w:eastAsia="Calibri"/>
              </w:rPr>
            </w:pPr>
            <w:r w:rsidRPr="042CC651">
              <w:rPr>
                <w:rFonts w:eastAsia="Calibri"/>
              </w:rPr>
              <w:lastRenderedPageBreak/>
              <w:t xml:space="preserve">A total of </w:t>
            </w:r>
            <w:r>
              <w:rPr>
                <w:rFonts w:eastAsia="Calibri"/>
              </w:rPr>
              <w:t xml:space="preserve">9 Regular </w:t>
            </w:r>
            <w:r w:rsidRPr="042CC651">
              <w:rPr>
                <w:rFonts w:eastAsia="Calibri"/>
              </w:rPr>
              <w:t xml:space="preserve">Commission </w:t>
            </w:r>
            <w:r>
              <w:rPr>
                <w:rFonts w:eastAsia="Calibri"/>
              </w:rPr>
              <w:t>M</w:t>
            </w:r>
            <w:r w:rsidRPr="042CC651">
              <w:rPr>
                <w:rFonts w:eastAsia="Calibri"/>
              </w:rPr>
              <w:t xml:space="preserve">eetings were held in </w:t>
            </w:r>
            <w:r w:rsidRPr="543F3647">
              <w:rPr>
                <w:rFonts w:eastAsia="Calibri"/>
              </w:rPr>
              <w:t>20</w:t>
            </w:r>
            <w:r>
              <w:rPr>
                <w:rFonts w:eastAsia="Calibri"/>
              </w:rPr>
              <w:t>20</w:t>
            </w:r>
            <w:r w:rsidRPr="042CC651">
              <w:rPr>
                <w:rFonts w:eastAsia="Calibri"/>
              </w:rPr>
              <w:t>-</w:t>
            </w:r>
            <w:r w:rsidRPr="105F879A">
              <w:rPr>
                <w:rFonts w:eastAsia="Calibri"/>
              </w:rPr>
              <w:t>20</w:t>
            </w:r>
            <w:r w:rsidRPr="4A2483C6">
              <w:rPr>
                <w:rFonts w:eastAsia="Calibri"/>
              </w:rPr>
              <w:t>2</w:t>
            </w:r>
            <w:r>
              <w:rPr>
                <w:rFonts w:eastAsia="Calibri"/>
              </w:rPr>
              <w:t xml:space="preserve">1, with 1 Policy Meeting in </w:t>
            </w:r>
            <w:proofErr w:type="gramStart"/>
            <w:r>
              <w:rPr>
                <w:rFonts w:eastAsia="Calibri"/>
              </w:rPr>
              <w:t>November,</w:t>
            </w:r>
            <w:proofErr w:type="gramEnd"/>
            <w:r>
              <w:rPr>
                <w:rFonts w:eastAsia="Calibri"/>
              </w:rPr>
              <w:t xml:space="preserve"> 2020.  </w:t>
            </w:r>
            <w:r w:rsidRPr="042CC651">
              <w:rPr>
                <w:rFonts w:eastAsia="Calibri"/>
              </w:rPr>
              <w:t xml:space="preserve"> </w:t>
            </w:r>
          </w:p>
          <w:p w14:paraId="2BE56FF8" w14:textId="77777777" w:rsidR="00E6522D" w:rsidRPr="00B11898" w:rsidRDefault="00E6522D" w:rsidP="00E6522D">
            <w:pPr>
              <w:pStyle w:val="ListParagraph"/>
              <w:numPr>
                <w:ilvl w:val="0"/>
                <w:numId w:val="28"/>
              </w:numPr>
              <w:ind w:left="162" w:hanging="162"/>
              <w:cnfStyle w:val="000000010000" w:firstRow="0" w:lastRow="0" w:firstColumn="0" w:lastColumn="0" w:oddVBand="0" w:evenVBand="0" w:oddHBand="0" w:evenHBand="1" w:firstRowFirstColumn="0" w:firstRowLastColumn="0" w:lastRowFirstColumn="0" w:lastRowLastColumn="0"/>
              <w:rPr>
                <w:rFonts w:eastAsia="Calibri" w:cstheme="minorHAnsi"/>
              </w:rPr>
            </w:pPr>
            <w:r w:rsidRPr="00B11898">
              <w:rPr>
                <w:rFonts w:eastAsia="Calibri" w:cstheme="minorHAnsi"/>
              </w:rPr>
              <w:t>All meetings are open to the public</w:t>
            </w:r>
            <w:r>
              <w:rPr>
                <w:rFonts w:eastAsia="Calibri" w:cstheme="minorHAnsi"/>
              </w:rPr>
              <w:t>, except for in-camera agenda items</w:t>
            </w:r>
            <w:r w:rsidRPr="00B11898">
              <w:rPr>
                <w:rFonts w:eastAsia="Calibri" w:cstheme="minorHAnsi"/>
              </w:rPr>
              <w:t>.</w:t>
            </w:r>
          </w:p>
          <w:p w14:paraId="1C055A02" w14:textId="77777777" w:rsidR="00E6522D" w:rsidRPr="00F3402E" w:rsidRDefault="00E6522D" w:rsidP="00E6522D">
            <w:pPr>
              <w:pStyle w:val="ListParagraph"/>
              <w:numPr>
                <w:ilvl w:val="0"/>
                <w:numId w:val="28"/>
              </w:numPr>
              <w:ind w:left="162" w:hanging="162"/>
              <w:cnfStyle w:val="000000010000" w:firstRow="0" w:lastRow="0" w:firstColumn="0" w:lastColumn="0" w:oddVBand="0" w:evenVBand="0" w:oddHBand="0" w:evenHBand="1" w:firstRowFirstColumn="0" w:firstRowLastColumn="0" w:lastRowFirstColumn="0" w:lastRowLastColumn="0"/>
              <w:rPr>
                <w:rFonts w:eastAsia="Calibri" w:cstheme="minorHAnsi"/>
              </w:rPr>
            </w:pPr>
            <w:r w:rsidRPr="00B11898">
              <w:rPr>
                <w:rFonts w:eastAsia="Calibri" w:cstheme="minorHAnsi"/>
              </w:rPr>
              <w:lastRenderedPageBreak/>
              <w:t xml:space="preserve">Meeting </w:t>
            </w:r>
            <w:r>
              <w:rPr>
                <w:rFonts w:eastAsia="Calibri" w:cstheme="minorHAnsi"/>
              </w:rPr>
              <w:t>m</w:t>
            </w:r>
            <w:r w:rsidRPr="00B11898">
              <w:rPr>
                <w:rFonts w:eastAsia="Calibri" w:cstheme="minorHAnsi"/>
              </w:rPr>
              <w:t>inutes were posted following approval by the Commission.</w:t>
            </w:r>
          </w:p>
        </w:tc>
      </w:tr>
      <w:tr w:rsidR="00E6522D" w:rsidRPr="003018E8" w14:paraId="17EB77E9" w14:textId="77777777" w:rsidTr="004D7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Borders>
              <w:top w:val="single" w:sz="4" w:space="0" w:color="A5A5A5" w:themeColor="accent1" w:themeShade="BF"/>
              <w:left w:val="single" w:sz="4" w:space="0" w:color="A5A5A5" w:themeColor="accent1" w:themeShade="BF"/>
              <w:bottom w:val="single" w:sz="4" w:space="0" w:color="A5A5A5" w:themeColor="accent1" w:themeShade="BF"/>
              <w:right w:val="single" w:sz="4" w:space="0" w:color="A5A5A5" w:themeColor="accent1" w:themeShade="BF"/>
            </w:tcBorders>
            <w:shd w:val="clear" w:color="auto" w:fill="auto"/>
          </w:tcPr>
          <w:p w14:paraId="77CC370A" w14:textId="77777777" w:rsidR="00E6522D" w:rsidRPr="004D7CB9" w:rsidRDefault="00E6522D" w:rsidP="00AB2342">
            <w:pPr>
              <w:rPr>
                <w:rFonts w:asciiTheme="minorHAnsi" w:eastAsia="Calibri" w:hAnsiTheme="minorHAnsi" w:cstheme="minorHAnsi"/>
                <w:sz w:val="22"/>
                <w:szCs w:val="20"/>
                <w:lang w:val="en-US"/>
              </w:rPr>
            </w:pPr>
            <w:r w:rsidRPr="004D7CB9">
              <w:rPr>
                <w:rFonts w:asciiTheme="minorHAnsi" w:eastAsia="Calibri" w:hAnsiTheme="minorHAnsi" w:cstheme="minorHAnsi"/>
                <w:sz w:val="22"/>
                <w:szCs w:val="20"/>
                <w:lang w:val="en-US"/>
              </w:rPr>
              <w:lastRenderedPageBreak/>
              <w:t>Conflict of Interest (if any) by Commissioners or staff</w:t>
            </w:r>
          </w:p>
        </w:tc>
        <w:tc>
          <w:tcPr>
            <w:tcW w:w="3992" w:type="dxa"/>
            <w:tcBorders>
              <w:top w:val="single" w:sz="4" w:space="0" w:color="A5A5A5" w:themeColor="accent1" w:themeShade="BF"/>
              <w:left w:val="single" w:sz="4" w:space="0" w:color="A5A5A5" w:themeColor="accent1" w:themeShade="BF"/>
              <w:bottom w:val="single" w:sz="4" w:space="0" w:color="A5A5A5" w:themeColor="accent1" w:themeShade="BF"/>
              <w:right w:val="single" w:sz="4" w:space="0" w:color="A5A5A5" w:themeColor="accent1" w:themeShade="BF"/>
            </w:tcBorders>
            <w:shd w:val="clear" w:color="auto" w:fill="auto"/>
          </w:tcPr>
          <w:p w14:paraId="70687E94" w14:textId="77777777" w:rsidR="00E6522D" w:rsidRPr="00B11898" w:rsidRDefault="00E6522D" w:rsidP="00AB2342">
            <w:pPr>
              <w:cnfStyle w:val="000000100000" w:firstRow="0" w:lastRow="0" w:firstColumn="0" w:lastColumn="0" w:oddVBand="0" w:evenVBand="0" w:oddHBand="1" w:evenHBand="0" w:firstRowFirstColumn="0" w:firstRowLastColumn="0" w:lastRowFirstColumn="0" w:lastRowLastColumn="0"/>
              <w:rPr>
                <w:rFonts w:eastAsia="Calibri" w:cstheme="minorHAnsi"/>
                <w:lang w:val="en-US"/>
              </w:rPr>
            </w:pPr>
            <w:r w:rsidRPr="00B11898">
              <w:rPr>
                <w:rFonts w:eastAsia="Calibri" w:cstheme="minorHAnsi"/>
                <w:lang w:val="en-US"/>
              </w:rPr>
              <w:t>Declaration to Chair or Director as required by OPS directives</w:t>
            </w:r>
            <w:r>
              <w:rPr>
                <w:rFonts w:eastAsia="Calibri" w:cstheme="minorHAnsi"/>
                <w:lang w:val="en-US"/>
              </w:rPr>
              <w:t>.</w:t>
            </w:r>
          </w:p>
        </w:tc>
        <w:tc>
          <w:tcPr>
            <w:tcW w:w="4050" w:type="dxa"/>
            <w:tcBorders>
              <w:top w:val="single" w:sz="4" w:space="0" w:color="A5A5A5" w:themeColor="accent1" w:themeShade="BF"/>
              <w:left w:val="single" w:sz="4" w:space="0" w:color="A5A5A5" w:themeColor="accent1" w:themeShade="BF"/>
              <w:bottom w:val="single" w:sz="4" w:space="0" w:color="A5A5A5" w:themeColor="accent1" w:themeShade="BF"/>
              <w:right w:val="single" w:sz="4" w:space="0" w:color="A5A5A5" w:themeColor="accent1" w:themeShade="BF"/>
            </w:tcBorders>
            <w:shd w:val="clear" w:color="auto" w:fill="auto"/>
          </w:tcPr>
          <w:p w14:paraId="73CCEF05" w14:textId="77777777" w:rsidR="00E6522D" w:rsidRDefault="00E6522D" w:rsidP="00E6522D">
            <w:pPr>
              <w:pStyle w:val="ListParagraph"/>
              <w:numPr>
                <w:ilvl w:val="0"/>
                <w:numId w:val="28"/>
              </w:numPr>
              <w:ind w:left="162" w:hanging="162"/>
              <w:cnfStyle w:val="000000100000" w:firstRow="0" w:lastRow="0" w:firstColumn="0" w:lastColumn="0" w:oddVBand="0" w:evenVBand="0" w:oddHBand="1" w:evenHBand="0" w:firstRowFirstColumn="0" w:firstRowLastColumn="0" w:lastRowFirstColumn="0" w:lastRowLastColumn="0"/>
              <w:rPr>
                <w:rFonts w:eastAsia="Calibri" w:cstheme="minorHAnsi"/>
              </w:rPr>
            </w:pPr>
            <w:r w:rsidRPr="00B11898">
              <w:rPr>
                <w:rFonts w:eastAsia="Calibri" w:cstheme="minorHAnsi"/>
              </w:rPr>
              <w:t>OPS Directives met.</w:t>
            </w:r>
          </w:p>
          <w:p w14:paraId="17FA8B61" w14:textId="77777777" w:rsidR="00E6522D" w:rsidRPr="004433CD" w:rsidRDefault="00E6522D" w:rsidP="00E6522D">
            <w:pPr>
              <w:pStyle w:val="ListParagraph"/>
              <w:numPr>
                <w:ilvl w:val="0"/>
                <w:numId w:val="28"/>
              </w:numPr>
              <w:ind w:left="162" w:hanging="162"/>
              <w:cnfStyle w:val="000000100000" w:firstRow="0" w:lastRow="0" w:firstColumn="0" w:lastColumn="0" w:oddVBand="0" w:evenVBand="0" w:oddHBand="1" w:evenHBand="0" w:firstRowFirstColumn="0" w:firstRowLastColumn="0" w:lastRowFirstColumn="0" w:lastRowLastColumn="0"/>
              <w:rPr>
                <w:rFonts w:eastAsia="Calibri" w:cstheme="minorHAnsi"/>
              </w:rPr>
            </w:pPr>
            <w:r>
              <w:rPr>
                <w:rFonts w:eastAsia="Calibri" w:cstheme="minorHAnsi"/>
              </w:rPr>
              <w:t>Three</w:t>
            </w:r>
            <w:r w:rsidRPr="004433CD">
              <w:rPr>
                <w:rFonts w:eastAsia="Calibri"/>
              </w:rPr>
              <w:t xml:space="preserve"> </w:t>
            </w:r>
            <w:r>
              <w:rPr>
                <w:rFonts w:eastAsia="Calibri"/>
              </w:rPr>
              <w:t xml:space="preserve">COI </w:t>
            </w:r>
            <w:r w:rsidRPr="004433CD">
              <w:rPr>
                <w:rFonts w:eastAsia="Calibri"/>
              </w:rPr>
              <w:t>declaration</w:t>
            </w:r>
            <w:r>
              <w:rPr>
                <w:rFonts w:eastAsia="Calibri"/>
              </w:rPr>
              <w:t>s</w:t>
            </w:r>
            <w:r w:rsidRPr="004433CD">
              <w:rPr>
                <w:rFonts w:eastAsia="Calibri"/>
              </w:rPr>
              <w:t xml:space="preserve"> </w:t>
            </w:r>
            <w:r>
              <w:rPr>
                <w:rFonts w:eastAsia="Calibri"/>
              </w:rPr>
              <w:t xml:space="preserve">were </w:t>
            </w:r>
            <w:r w:rsidRPr="004433CD">
              <w:rPr>
                <w:rFonts w:eastAsia="Calibri"/>
              </w:rPr>
              <w:t>brought forward by a Commissioner.</w:t>
            </w:r>
            <w:r>
              <w:rPr>
                <w:rFonts w:eastAsia="Calibri"/>
              </w:rPr>
              <w:t xml:space="preserve">  No declarations by NEC staff.</w:t>
            </w:r>
          </w:p>
          <w:p w14:paraId="01C1C5C2" w14:textId="77777777" w:rsidR="00E6522D" w:rsidRPr="00B11898" w:rsidRDefault="00E6522D" w:rsidP="00E6522D">
            <w:pPr>
              <w:pStyle w:val="ListParagraph"/>
              <w:numPr>
                <w:ilvl w:val="0"/>
                <w:numId w:val="28"/>
              </w:numPr>
              <w:ind w:left="162" w:hanging="162"/>
              <w:cnfStyle w:val="000000100000" w:firstRow="0" w:lastRow="0" w:firstColumn="0" w:lastColumn="0" w:oddVBand="0" w:evenVBand="0" w:oddHBand="1" w:evenHBand="0" w:firstRowFirstColumn="0" w:firstRowLastColumn="0" w:lastRowFirstColumn="0" w:lastRowLastColumn="0"/>
              <w:rPr>
                <w:rFonts w:eastAsia="Calibri" w:cstheme="minorHAnsi"/>
              </w:rPr>
            </w:pPr>
            <w:r w:rsidRPr="00B11898">
              <w:rPr>
                <w:rFonts w:eastAsia="Calibri" w:cstheme="minorHAnsi"/>
              </w:rPr>
              <w:t>In each case, individuals did not participate in discussions or decisions.</w:t>
            </w:r>
          </w:p>
          <w:p w14:paraId="435E5026" w14:textId="77777777" w:rsidR="00E6522D" w:rsidRDefault="00E6522D" w:rsidP="00E6522D">
            <w:pPr>
              <w:pStyle w:val="ListParagraph"/>
              <w:numPr>
                <w:ilvl w:val="0"/>
                <w:numId w:val="28"/>
              </w:numPr>
              <w:ind w:left="162" w:hanging="162"/>
              <w:cnfStyle w:val="000000100000" w:firstRow="0" w:lastRow="0" w:firstColumn="0" w:lastColumn="0" w:oddVBand="0" w:evenVBand="0" w:oddHBand="1" w:evenHBand="0" w:firstRowFirstColumn="0" w:firstRowLastColumn="0" w:lastRowFirstColumn="0" w:lastRowLastColumn="0"/>
              <w:rPr>
                <w:rFonts w:eastAsia="Calibri" w:cstheme="minorHAnsi"/>
              </w:rPr>
            </w:pPr>
            <w:r w:rsidRPr="00B11898">
              <w:rPr>
                <w:rFonts w:eastAsia="Calibri" w:cstheme="minorHAnsi"/>
              </w:rPr>
              <w:t xml:space="preserve">Appropriate controls have been put in place to ensure integrity maintained in NEC program delivery.  </w:t>
            </w:r>
          </w:p>
          <w:p w14:paraId="01CC5BD4" w14:textId="28C25C5E" w:rsidR="000B47EE" w:rsidRPr="00B11898" w:rsidRDefault="000B47EE" w:rsidP="000B47EE">
            <w:pPr>
              <w:pStyle w:val="ListParagraph"/>
              <w:ind w:left="162"/>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E6522D" w:rsidRPr="003018E8" w14:paraId="1B549207" w14:textId="77777777" w:rsidTr="004D7C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Borders>
              <w:top w:val="single" w:sz="4" w:space="0" w:color="A5A5A5" w:themeColor="accent1" w:themeShade="BF"/>
              <w:left w:val="single" w:sz="4" w:space="0" w:color="A5A5A5" w:themeColor="accent1" w:themeShade="BF"/>
              <w:bottom w:val="single" w:sz="4" w:space="0" w:color="A5A5A5" w:themeColor="accent1" w:themeShade="BF"/>
              <w:right w:val="single" w:sz="4" w:space="0" w:color="A5A5A5" w:themeColor="accent1" w:themeShade="BF"/>
            </w:tcBorders>
            <w:shd w:val="clear" w:color="auto" w:fill="auto"/>
          </w:tcPr>
          <w:p w14:paraId="3F63F058" w14:textId="77777777" w:rsidR="00E6522D" w:rsidRPr="004D7CB9" w:rsidRDefault="00E6522D" w:rsidP="00AB2342">
            <w:pPr>
              <w:rPr>
                <w:rFonts w:asciiTheme="minorHAnsi" w:eastAsia="Calibri" w:hAnsiTheme="minorHAnsi" w:cstheme="minorHAnsi"/>
                <w:sz w:val="22"/>
                <w:szCs w:val="20"/>
                <w:lang w:val="en-US"/>
              </w:rPr>
            </w:pPr>
            <w:r w:rsidRPr="004D7CB9">
              <w:rPr>
                <w:rFonts w:asciiTheme="minorHAnsi" w:eastAsia="Calibri" w:hAnsiTheme="minorHAnsi" w:cstheme="minorHAnsi"/>
                <w:sz w:val="22"/>
                <w:szCs w:val="20"/>
                <w:lang w:val="en-US"/>
              </w:rPr>
              <w:t xml:space="preserve">Commission Decisions        </w:t>
            </w:r>
          </w:p>
          <w:p w14:paraId="780835DA" w14:textId="77777777" w:rsidR="00E6522D" w:rsidRPr="004D7CB9" w:rsidRDefault="00E6522D" w:rsidP="00AB2342">
            <w:pPr>
              <w:rPr>
                <w:rFonts w:asciiTheme="minorHAnsi" w:eastAsia="Calibri" w:hAnsiTheme="minorHAnsi" w:cstheme="minorHAnsi"/>
                <w:sz w:val="22"/>
                <w:szCs w:val="20"/>
                <w:lang w:val="en-US"/>
              </w:rPr>
            </w:pPr>
          </w:p>
        </w:tc>
        <w:tc>
          <w:tcPr>
            <w:tcW w:w="3992" w:type="dxa"/>
            <w:tcBorders>
              <w:top w:val="single" w:sz="4" w:space="0" w:color="A5A5A5" w:themeColor="accent1" w:themeShade="BF"/>
              <w:left w:val="single" w:sz="4" w:space="0" w:color="A5A5A5" w:themeColor="accent1" w:themeShade="BF"/>
              <w:bottom w:val="single" w:sz="4" w:space="0" w:color="A5A5A5" w:themeColor="accent1" w:themeShade="BF"/>
              <w:right w:val="single" w:sz="4" w:space="0" w:color="A5A5A5" w:themeColor="accent1" w:themeShade="BF"/>
            </w:tcBorders>
            <w:shd w:val="clear" w:color="auto" w:fill="auto"/>
          </w:tcPr>
          <w:p w14:paraId="6E06EAAC" w14:textId="77777777" w:rsidR="00E6522D" w:rsidRPr="00B11898" w:rsidRDefault="00E6522D" w:rsidP="00AB2342">
            <w:pPr>
              <w:cnfStyle w:val="000000010000" w:firstRow="0" w:lastRow="0" w:firstColumn="0" w:lastColumn="0" w:oddVBand="0" w:evenVBand="0" w:oddHBand="0" w:evenHBand="1" w:firstRowFirstColumn="0" w:firstRowLastColumn="0" w:lastRowFirstColumn="0" w:lastRowLastColumn="0"/>
              <w:rPr>
                <w:rFonts w:eastAsia="Calibri" w:cstheme="minorHAnsi"/>
                <w:lang w:val="en-US"/>
              </w:rPr>
            </w:pPr>
            <w:r w:rsidRPr="00B11898">
              <w:rPr>
                <w:rFonts w:eastAsia="Calibri" w:cstheme="minorHAnsi"/>
                <w:lang w:val="en-US"/>
              </w:rPr>
              <w:t>Conformity with NEP policies and recommendations</w:t>
            </w:r>
            <w:r>
              <w:rPr>
                <w:rFonts w:eastAsia="Calibri" w:cstheme="minorHAnsi"/>
                <w:lang w:val="en-US"/>
              </w:rPr>
              <w:t>.</w:t>
            </w:r>
          </w:p>
          <w:p w14:paraId="1A65B9B4" w14:textId="77777777" w:rsidR="00E6522D" w:rsidRPr="00B11898" w:rsidRDefault="00E6522D" w:rsidP="00AB2342">
            <w:pPr>
              <w:cnfStyle w:val="000000010000" w:firstRow="0" w:lastRow="0" w:firstColumn="0" w:lastColumn="0" w:oddVBand="0" w:evenVBand="0" w:oddHBand="0" w:evenHBand="1" w:firstRowFirstColumn="0" w:firstRowLastColumn="0" w:lastRowFirstColumn="0" w:lastRowLastColumn="0"/>
              <w:rPr>
                <w:rFonts w:eastAsia="Calibri" w:cstheme="minorHAnsi"/>
                <w:lang w:val="en-US"/>
              </w:rPr>
            </w:pPr>
          </w:p>
        </w:tc>
        <w:tc>
          <w:tcPr>
            <w:tcW w:w="4050" w:type="dxa"/>
            <w:tcBorders>
              <w:top w:val="single" w:sz="4" w:space="0" w:color="A5A5A5" w:themeColor="accent1" w:themeShade="BF"/>
              <w:left w:val="single" w:sz="4" w:space="0" w:color="A5A5A5" w:themeColor="accent1" w:themeShade="BF"/>
              <w:bottom w:val="single" w:sz="4" w:space="0" w:color="A5A5A5" w:themeColor="accent1" w:themeShade="BF"/>
              <w:right w:val="single" w:sz="4" w:space="0" w:color="A5A5A5" w:themeColor="accent1" w:themeShade="BF"/>
            </w:tcBorders>
            <w:shd w:val="clear" w:color="auto" w:fill="auto"/>
          </w:tcPr>
          <w:p w14:paraId="4B91F38D" w14:textId="77777777" w:rsidR="00E6522D" w:rsidRPr="00B11898" w:rsidRDefault="00E6522D" w:rsidP="00E6522D">
            <w:pPr>
              <w:pStyle w:val="ListParagraph"/>
              <w:numPr>
                <w:ilvl w:val="0"/>
                <w:numId w:val="28"/>
              </w:numPr>
              <w:ind w:left="162" w:hanging="162"/>
              <w:cnfStyle w:val="000000010000" w:firstRow="0" w:lastRow="0" w:firstColumn="0" w:lastColumn="0" w:oddVBand="0" w:evenVBand="0" w:oddHBand="0" w:evenHBand="1" w:firstRowFirstColumn="0" w:firstRowLastColumn="0" w:lastRowFirstColumn="0" w:lastRowLastColumn="0"/>
              <w:rPr>
                <w:rFonts w:eastAsia="Calibri" w:cstheme="minorHAnsi"/>
              </w:rPr>
            </w:pPr>
            <w:r w:rsidRPr="00B11898">
              <w:rPr>
                <w:rFonts w:eastAsia="Calibri" w:cstheme="minorHAnsi"/>
              </w:rPr>
              <w:t>Orientation provided for all new Commissioners regarding responsibilities to make decisions in accordance with the NEP.</w:t>
            </w:r>
          </w:p>
          <w:p w14:paraId="393934CD" w14:textId="77777777" w:rsidR="00E6522D" w:rsidRPr="00B11898" w:rsidRDefault="00E6522D" w:rsidP="00E6522D">
            <w:pPr>
              <w:pStyle w:val="ListParagraph"/>
              <w:numPr>
                <w:ilvl w:val="0"/>
                <w:numId w:val="28"/>
              </w:numPr>
              <w:ind w:left="162" w:hanging="162"/>
              <w:cnfStyle w:val="000000010000" w:firstRow="0" w:lastRow="0" w:firstColumn="0" w:lastColumn="0" w:oddVBand="0" w:evenVBand="0" w:oddHBand="0" w:evenHBand="1" w:firstRowFirstColumn="0" w:firstRowLastColumn="0" w:lastRowFirstColumn="0" w:lastRowLastColumn="0"/>
              <w:rPr>
                <w:rFonts w:eastAsia="Calibri" w:cstheme="minorHAnsi"/>
              </w:rPr>
            </w:pPr>
            <w:r w:rsidRPr="00B11898">
              <w:rPr>
                <w:rFonts w:eastAsia="Calibri" w:cstheme="minorHAnsi"/>
              </w:rPr>
              <w:t>All Commissioners trained on new NEP policies.</w:t>
            </w:r>
          </w:p>
          <w:p w14:paraId="62AB6860" w14:textId="77777777" w:rsidR="00E6522D" w:rsidRPr="00B11898" w:rsidRDefault="00E6522D" w:rsidP="00E6522D">
            <w:pPr>
              <w:pStyle w:val="ListParagraph"/>
              <w:numPr>
                <w:ilvl w:val="0"/>
                <w:numId w:val="28"/>
              </w:numPr>
              <w:ind w:left="162" w:hanging="162"/>
              <w:cnfStyle w:val="000000010000" w:firstRow="0" w:lastRow="0" w:firstColumn="0" w:lastColumn="0" w:oddVBand="0" w:evenVBand="0" w:oddHBand="0" w:evenHBand="1" w:firstRowFirstColumn="0" w:firstRowLastColumn="0" w:lastRowFirstColumn="0" w:lastRowLastColumn="0"/>
              <w:rPr>
                <w:rFonts w:eastAsia="Calibri" w:cstheme="minorHAnsi"/>
              </w:rPr>
            </w:pPr>
            <w:r w:rsidRPr="00B11898">
              <w:rPr>
                <w:rFonts w:eastAsia="Calibri" w:cstheme="minorHAnsi"/>
              </w:rPr>
              <w:t>All staff reports effectively addressed NEP policies</w:t>
            </w:r>
          </w:p>
          <w:p w14:paraId="6FDA6785" w14:textId="77777777" w:rsidR="00E6522D" w:rsidRDefault="00E6522D" w:rsidP="00E6522D">
            <w:pPr>
              <w:pStyle w:val="ListParagraph"/>
              <w:numPr>
                <w:ilvl w:val="0"/>
                <w:numId w:val="28"/>
              </w:numPr>
              <w:ind w:left="162" w:hanging="162"/>
              <w:cnfStyle w:val="000000010000" w:firstRow="0" w:lastRow="0" w:firstColumn="0" w:lastColumn="0" w:oddVBand="0" w:evenVBand="0" w:oddHBand="0" w:evenHBand="1" w:firstRowFirstColumn="0" w:firstRowLastColumn="0" w:lastRowFirstColumn="0" w:lastRowLastColumn="0"/>
              <w:rPr>
                <w:rFonts w:eastAsia="Calibri" w:cstheme="minorHAnsi"/>
              </w:rPr>
            </w:pPr>
            <w:r w:rsidRPr="00B11898">
              <w:rPr>
                <w:rFonts w:eastAsia="Calibri" w:cstheme="minorHAnsi"/>
              </w:rPr>
              <w:t>Decisions made in conformity with the NEP policies.</w:t>
            </w:r>
          </w:p>
          <w:p w14:paraId="64D004C9" w14:textId="10ED04B6" w:rsidR="000B47EE" w:rsidRPr="00B11898" w:rsidRDefault="000B47EE" w:rsidP="000B47EE">
            <w:pPr>
              <w:pStyle w:val="ListParagraph"/>
              <w:ind w:left="162"/>
              <w:cnfStyle w:val="000000010000" w:firstRow="0" w:lastRow="0" w:firstColumn="0" w:lastColumn="0" w:oddVBand="0" w:evenVBand="0" w:oddHBand="0" w:evenHBand="1" w:firstRowFirstColumn="0" w:firstRowLastColumn="0" w:lastRowFirstColumn="0" w:lastRowLastColumn="0"/>
              <w:rPr>
                <w:rFonts w:eastAsia="Calibri" w:cstheme="minorHAnsi"/>
              </w:rPr>
            </w:pPr>
          </w:p>
        </w:tc>
      </w:tr>
      <w:tr w:rsidR="00E6522D" w:rsidRPr="003018E8" w14:paraId="0A761683" w14:textId="77777777" w:rsidTr="004D7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Borders>
              <w:top w:val="single" w:sz="4" w:space="0" w:color="A5A5A5" w:themeColor="accent1" w:themeShade="BF"/>
              <w:left w:val="single" w:sz="4" w:space="0" w:color="A5A5A5" w:themeColor="accent1" w:themeShade="BF"/>
              <w:right w:val="single" w:sz="4" w:space="0" w:color="A5A5A5" w:themeColor="accent1" w:themeShade="BF"/>
            </w:tcBorders>
            <w:shd w:val="clear" w:color="auto" w:fill="auto"/>
          </w:tcPr>
          <w:p w14:paraId="1672C573" w14:textId="77777777" w:rsidR="00E6522D" w:rsidRPr="004D7CB9" w:rsidRDefault="00E6522D" w:rsidP="00AB2342">
            <w:pPr>
              <w:rPr>
                <w:rFonts w:asciiTheme="minorHAnsi" w:eastAsia="Calibri" w:hAnsiTheme="minorHAnsi" w:cstheme="minorHAnsi"/>
                <w:sz w:val="22"/>
                <w:szCs w:val="20"/>
                <w:lang w:val="en-US"/>
              </w:rPr>
            </w:pPr>
            <w:r w:rsidRPr="004D7CB9">
              <w:rPr>
                <w:rFonts w:asciiTheme="minorHAnsi" w:eastAsia="Calibri" w:hAnsiTheme="minorHAnsi" w:cstheme="minorHAnsi"/>
                <w:sz w:val="22"/>
                <w:szCs w:val="20"/>
                <w:lang w:val="en-US"/>
              </w:rPr>
              <w:t xml:space="preserve">Accessible Public Service            </w:t>
            </w:r>
          </w:p>
        </w:tc>
        <w:tc>
          <w:tcPr>
            <w:tcW w:w="3992" w:type="dxa"/>
            <w:tcBorders>
              <w:top w:val="single" w:sz="4" w:space="0" w:color="A5A5A5" w:themeColor="accent1" w:themeShade="BF"/>
              <w:left w:val="single" w:sz="4" w:space="0" w:color="A5A5A5" w:themeColor="accent1" w:themeShade="BF"/>
              <w:bottom w:val="single" w:sz="4" w:space="0" w:color="A5A5A5" w:themeColor="accent1" w:themeShade="BF"/>
              <w:right w:val="single" w:sz="4" w:space="0" w:color="A5A5A5" w:themeColor="accent1" w:themeShade="BF"/>
            </w:tcBorders>
            <w:shd w:val="clear" w:color="auto" w:fill="auto"/>
          </w:tcPr>
          <w:p w14:paraId="4C0D9B60" w14:textId="77777777" w:rsidR="00E6522D" w:rsidRPr="00B11898" w:rsidRDefault="00E6522D" w:rsidP="00AB2342">
            <w:pPr>
              <w:cnfStyle w:val="000000100000" w:firstRow="0" w:lastRow="0" w:firstColumn="0" w:lastColumn="0" w:oddVBand="0" w:evenVBand="0" w:oddHBand="1" w:evenHBand="0" w:firstRowFirstColumn="0" w:firstRowLastColumn="0" w:lastRowFirstColumn="0" w:lastRowLastColumn="0"/>
              <w:rPr>
                <w:rFonts w:eastAsia="Calibri" w:cstheme="minorHAnsi"/>
                <w:lang w:val="en-US"/>
              </w:rPr>
            </w:pPr>
            <w:r w:rsidRPr="00B11898">
              <w:rPr>
                <w:rFonts w:eastAsia="Calibri" w:cstheme="minorHAnsi"/>
                <w:lang w:val="en-US"/>
              </w:rPr>
              <w:t>As per OPS Customer Service Standards, staff are available from 8:30 am to 5:00 pm at Commission offices (Georgetown and Thornbury) Monday to Friday and other times by appointment.</w:t>
            </w:r>
          </w:p>
          <w:p w14:paraId="410EA078" w14:textId="77777777" w:rsidR="00E6522D" w:rsidRPr="00B11898" w:rsidRDefault="00E6522D" w:rsidP="00AB2342">
            <w:pPr>
              <w:cnfStyle w:val="000000100000" w:firstRow="0" w:lastRow="0" w:firstColumn="0" w:lastColumn="0" w:oddVBand="0" w:evenVBand="0" w:oddHBand="1" w:evenHBand="0" w:firstRowFirstColumn="0" w:firstRowLastColumn="0" w:lastRowFirstColumn="0" w:lastRowLastColumn="0"/>
              <w:rPr>
                <w:rFonts w:eastAsia="Calibri" w:cstheme="minorHAnsi"/>
                <w:lang w:val="en-US"/>
              </w:rPr>
            </w:pPr>
          </w:p>
          <w:p w14:paraId="543F0699" w14:textId="77777777" w:rsidR="00E6522D" w:rsidRDefault="00E6522D" w:rsidP="00AB2342">
            <w:pPr>
              <w:cnfStyle w:val="000000100000" w:firstRow="0" w:lastRow="0" w:firstColumn="0" w:lastColumn="0" w:oddVBand="0" w:evenVBand="0" w:oddHBand="1" w:evenHBand="0" w:firstRowFirstColumn="0" w:firstRowLastColumn="0" w:lastRowFirstColumn="0" w:lastRowLastColumn="0"/>
              <w:rPr>
                <w:rFonts w:eastAsia="Calibri" w:cstheme="minorHAnsi"/>
                <w:lang w:val="en-US"/>
              </w:rPr>
            </w:pPr>
            <w:r w:rsidRPr="00B11898">
              <w:rPr>
                <w:rFonts w:eastAsia="Calibri" w:cstheme="minorHAnsi"/>
                <w:lang w:val="en-US"/>
              </w:rPr>
              <w:t xml:space="preserve">Annually, the NEC is required to attest compliance with the Accessibility for Ontarians with Disabilities Act (AODA). </w:t>
            </w:r>
          </w:p>
          <w:p w14:paraId="692EF954" w14:textId="4871E3DA" w:rsidR="000B47EE" w:rsidRPr="00B11898" w:rsidRDefault="000B47EE" w:rsidP="00AB2342">
            <w:pPr>
              <w:cnfStyle w:val="000000100000" w:firstRow="0" w:lastRow="0" w:firstColumn="0" w:lastColumn="0" w:oddVBand="0" w:evenVBand="0" w:oddHBand="1" w:evenHBand="0" w:firstRowFirstColumn="0" w:firstRowLastColumn="0" w:lastRowFirstColumn="0" w:lastRowLastColumn="0"/>
              <w:rPr>
                <w:rFonts w:eastAsia="Calibri" w:cstheme="minorHAnsi"/>
                <w:lang w:val="en-US"/>
              </w:rPr>
            </w:pPr>
          </w:p>
        </w:tc>
        <w:tc>
          <w:tcPr>
            <w:tcW w:w="4050" w:type="dxa"/>
            <w:tcBorders>
              <w:top w:val="single" w:sz="4" w:space="0" w:color="A5A5A5" w:themeColor="accent1" w:themeShade="BF"/>
              <w:left w:val="single" w:sz="4" w:space="0" w:color="A5A5A5" w:themeColor="accent1" w:themeShade="BF"/>
              <w:right w:val="single" w:sz="4" w:space="0" w:color="A5A5A5" w:themeColor="accent1" w:themeShade="BF"/>
            </w:tcBorders>
            <w:shd w:val="clear" w:color="auto" w:fill="auto"/>
          </w:tcPr>
          <w:p w14:paraId="4A1FEE45" w14:textId="77777777" w:rsidR="00E6522D" w:rsidRDefault="00E6522D" w:rsidP="00E6522D">
            <w:pPr>
              <w:pStyle w:val="ListParagraph"/>
              <w:numPr>
                <w:ilvl w:val="0"/>
                <w:numId w:val="28"/>
              </w:numPr>
              <w:ind w:left="162" w:hanging="162"/>
              <w:cnfStyle w:val="000000100000" w:firstRow="0" w:lastRow="0" w:firstColumn="0" w:lastColumn="0" w:oddVBand="0" w:evenVBand="0" w:oddHBand="1" w:evenHBand="0" w:firstRowFirstColumn="0" w:firstRowLastColumn="0" w:lastRowFirstColumn="0" w:lastRowLastColumn="0"/>
              <w:rPr>
                <w:rFonts w:eastAsia="Calibri" w:cstheme="minorHAnsi"/>
              </w:rPr>
            </w:pPr>
            <w:r>
              <w:rPr>
                <w:rFonts w:eastAsia="Calibri" w:cstheme="minorHAnsi"/>
              </w:rPr>
              <w:t>Offices remained closed for the entire fiscal year due to COVID-19.  Staff were accessible through email or voicemail.</w:t>
            </w:r>
          </w:p>
          <w:p w14:paraId="4604B657" w14:textId="77777777" w:rsidR="00E6522D" w:rsidRDefault="00E6522D" w:rsidP="00E6522D">
            <w:pPr>
              <w:pStyle w:val="ListParagraph"/>
              <w:numPr>
                <w:ilvl w:val="0"/>
                <w:numId w:val="28"/>
              </w:numPr>
              <w:ind w:left="162" w:hanging="162"/>
              <w:cnfStyle w:val="000000100000" w:firstRow="0" w:lastRow="0" w:firstColumn="0" w:lastColumn="0" w:oddVBand="0" w:evenVBand="0" w:oddHBand="1" w:evenHBand="0" w:firstRowFirstColumn="0" w:firstRowLastColumn="0" w:lastRowFirstColumn="0" w:lastRowLastColumn="0"/>
              <w:rPr>
                <w:rFonts w:eastAsia="Calibri" w:cstheme="minorHAnsi"/>
              </w:rPr>
            </w:pPr>
            <w:r>
              <w:rPr>
                <w:rFonts w:eastAsia="Calibri" w:cstheme="minorHAnsi"/>
              </w:rPr>
              <w:t>NEC completed attestation and complied with requirements of AODA.</w:t>
            </w:r>
          </w:p>
          <w:p w14:paraId="3DD40950" w14:textId="77777777" w:rsidR="00E6522D" w:rsidRPr="008C3280" w:rsidRDefault="00E6522D" w:rsidP="00AB2342">
            <w:pPr>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E6522D" w:rsidRPr="003018E8" w14:paraId="78B7067C" w14:textId="77777777" w:rsidTr="004D7C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Borders>
              <w:top w:val="single" w:sz="4" w:space="0" w:color="A5A5A5" w:themeColor="accent1" w:themeShade="BF"/>
              <w:left w:val="single" w:sz="4" w:space="0" w:color="A5A5A5" w:themeColor="accent1" w:themeShade="BF"/>
              <w:bottom w:val="single" w:sz="4" w:space="0" w:color="A5A5A5" w:themeColor="accent1" w:themeShade="BF"/>
              <w:right w:val="single" w:sz="4" w:space="0" w:color="A5A5A5" w:themeColor="accent1" w:themeShade="BF"/>
            </w:tcBorders>
            <w:shd w:val="clear" w:color="auto" w:fill="auto"/>
          </w:tcPr>
          <w:p w14:paraId="6F4A47E6" w14:textId="77777777" w:rsidR="00E6522D" w:rsidRPr="004D7CB9" w:rsidRDefault="00E6522D" w:rsidP="00AB2342">
            <w:pPr>
              <w:rPr>
                <w:rFonts w:asciiTheme="minorHAnsi" w:eastAsia="Calibri" w:hAnsiTheme="minorHAnsi" w:cstheme="minorHAnsi"/>
                <w:sz w:val="22"/>
                <w:szCs w:val="20"/>
                <w:lang w:val="en-US"/>
              </w:rPr>
            </w:pPr>
            <w:r w:rsidRPr="004D7CB9">
              <w:rPr>
                <w:rFonts w:asciiTheme="minorHAnsi" w:eastAsia="Calibri" w:hAnsiTheme="minorHAnsi" w:cstheme="minorHAnsi"/>
                <w:sz w:val="22"/>
                <w:szCs w:val="20"/>
                <w:lang w:val="en-US"/>
              </w:rPr>
              <w:t>Telephone</w:t>
            </w:r>
          </w:p>
          <w:p w14:paraId="0FB5381F" w14:textId="77777777" w:rsidR="00E6522D" w:rsidRPr="004D7CB9" w:rsidRDefault="00E6522D" w:rsidP="00AB2342">
            <w:pPr>
              <w:rPr>
                <w:rFonts w:asciiTheme="minorHAnsi" w:eastAsia="Calibri" w:hAnsiTheme="minorHAnsi" w:cstheme="minorHAnsi"/>
                <w:sz w:val="22"/>
                <w:szCs w:val="20"/>
                <w:lang w:val="en-US"/>
              </w:rPr>
            </w:pPr>
          </w:p>
        </w:tc>
        <w:tc>
          <w:tcPr>
            <w:tcW w:w="3992" w:type="dxa"/>
            <w:tcBorders>
              <w:top w:val="single" w:sz="4" w:space="0" w:color="A5A5A5" w:themeColor="accent1" w:themeShade="BF"/>
              <w:left w:val="single" w:sz="4" w:space="0" w:color="A5A5A5" w:themeColor="accent1" w:themeShade="BF"/>
              <w:bottom w:val="single" w:sz="4" w:space="0" w:color="A5A5A5" w:themeColor="accent1" w:themeShade="BF"/>
              <w:right w:val="single" w:sz="4" w:space="0" w:color="A5A5A5" w:themeColor="accent1" w:themeShade="BF"/>
            </w:tcBorders>
            <w:shd w:val="clear" w:color="auto" w:fill="auto"/>
          </w:tcPr>
          <w:p w14:paraId="3636B097" w14:textId="77777777" w:rsidR="00E6522D" w:rsidRPr="00B11898" w:rsidRDefault="00E6522D" w:rsidP="00AB2342">
            <w:pPr>
              <w:cnfStyle w:val="000000010000" w:firstRow="0" w:lastRow="0" w:firstColumn="0" w:lastColumn="0" w:oddVBand="0" w:evenVBand="0" w:oddHBand="0" w:evenHBand="1" w:firstRowFirstColumn="0" w:firstRowLastColumn="0" w:lastRowFirstColumn="0" w:lastRowLastColumn="0"/>
              <w:rPr>
                <w:rFonts w:eastAsia="Calibri" w:cstheme="minorHAnsi"/>
                <w:lang w:val="en-US"/>
              </w:rPr>
            </w:pPr>
            <w:r w:rsidRPr="00B11898">
              <w:rPr>
                <w:rFonts w:eastAsia="Calibri" w:cstheme="minorHAnsi"/>
                <w:lang w:val="en-US"/>
              </w:rPr>
              <w:t>As per OPS Customer Service Standards, calls are answered by the third ring or sent to voicemail during business hours.  Protocols in place to deal with inquiries. Calls returned within one business day.</w:t>
            </w:r>
          </w:p>
        </w:tc>
        <w:tc>
          <w:tcPr>
            <w:tcW w:w="4050" w:type="dxa"/>
            <w:tcBorders>
              <w:top w:val="single" w:sz="4" w:space="0" w:color="A5A5A5" w:themeColor="accent1" w:themeShade="BF"/>
              <w:left w:val="single" w:sz="4" w:space="0" w:color="A5A5A5" w:themeColor="accent1" w:themeShade="BF"/>
              <w:bottom w:val="single" w:sz="4" w:space="0" w:color="A5A5A5" w:themeColor="accent1" w:themeShade="BF"/>
              <w:right w:val="single" w:sz="4" w:space="0" w:color="A5A5A5" w:themeColor="accent1" w:themeShade="BF"/>
            </w:tcBorders>
            <w:shd w:val="clear" w:color="auto" w:fill="auto"/>
          </w:tcPr>
          <w:p w14:paraId="6B215497" w14:textId="77777777" w:rsidR="00E6522D" w:rsidRPr="00B11898" w:rsidRDefault="00E6522D" w:rsidP="00E6522D">
            <w:pPr>
              <w:pStyle w:val="ListParagraph"/>
              <w:numPr>
                <w:ilvl w:val="0"/>
                <w:numId w:val="28"/>
              </w:numPr>
              <w:ind w:left="162" w:hanging="162"/>
              <w:cnfStyle w:val="000000010000" w:firstRow="0" w:lastRow="0" w:firstColumn="0" w:lastColumn="0" w:oddVBand="0" w:evenVBand="0" w:oddHBand="0" w:evenHBand="1" w:firstRowFirstColumn="0" w:firstRowLastColumn="0" w:lastRowFirstColumn="0" w:lastRowLastColumn="0"/>
              <w:rPr>
                <w:rFonts w:eastAsia="Calibri" w:cstheme="minorHAnsi"/>
              </w:rPr>
            </w:pPr>
            <w:r>
              <w:rPr>
                <w:rFonts w:eastAsia="Calibri" w:cstheme="minorHAnsi"/>
              </w:rPr>
              <w:t xml:space="preserve">NEC complied with service standard the majority of the time.  Due to office closures, there were some delays in responding to telephone inquiries.  All NEC staff now have cell phones to ensure </w:t>
            </w:r>
            <w:r>
              <w:rPr>
                <w:rFonts w:eastAsia="Calibri" w:cstheme="minorHAnsi"/>
              </w:rPr>
              <w:lastRenderedPageBreak/>
              <w:t>customer service standards can be met.</w:t>
            </w:r>
          </w:p>
        </w:tc>
      </w:tr>
      <w:tr w:rsidR="00E6522D" w:rsidRPr="003018E8" w14:paraId="56654312" w14:textId="77777777" w:rsidTr="004D7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Borders>
              <w:top w:val="single" w:sz="4" w:space="0" w:color="A5A5A5" w:themeColor="accent1" w:themeShade="BF"/>
              <w:left w:val="single" w:sz="4" w:space="0" w:color="A5A5A5" w:themeColor="accent1" w:themeShade="BF"/>
              <w:bottom w:val="single" w:sz="4" w:space="0" w:color="A5A5A5" w:themeColor="accent1" w:themeShade="BF"/>
              <w:right w:val="single" w:sz="4" w:space="0" w:color="A5A5A5" w:themeColor="accent1" w:themeShade="BF"/>
            </w:tcBorders>
            <w:shd w:val="clear" w:color="auto" w:fill="auto"/>
          </w:tcPr>
          <w:p w14:paraId="2080B6F7" w14:textId="77777777" w:rsidR="00E6522D" w:rsidRPr="004D7CB9" w:rsidRDefault="00E6522D" w:rsidP="00AB2342">
            <w:pPr>
              <w:rPr>
                <w:rFonts w:asciiTheme="minorHAnsi" w:eastAsia="Calibri" w:hAnsiTheme="minorHAnsi" w:cstheme="minorHAnsi"/>
                <w:sz w:val="22"/>
                <w:szCs w:val="20"/>
                <w:lang w:val="en-US"/>
              </w:rPr>
            </w:pPr>
            <w:r w:rsidRPr="004D7CB9">
              <w:rPr>
                <w:rFonts w:asciiTheme="minorHAnsi" w:eastAsia="Calibri" w:hAnsiTheme="minorHAnsi" w:cstheme="minorHAnsi"/>
                <w:sz w:val="22"/>
                <w:szCs w:val="20"/>
                <w:lang w:val="en-US"/>
              </w:rPr>
              <w:lastRenderedPageBreak/>
              <w:t xml:space="preserve">Correspondence (Written, Email and Fax). </w:t>
            </w:r>
          </w:p>
        </w:tc>
        <w:tc>
          <w:tcPr>
            <w:tcW w:w="3992" w:type="dxa"/>
            <w:tcBorders>
              <w:top w:val="single" w:sz="4" w:space="0" w:color="A5A5A5" w:themeColor="accent1" w:themeShade="BF"/>
              <w:left w:val="single" w:sz="4" w:space="0" w:color="A5A5A5" w:themeColor="accent1" w:themeShade="BF"/>
              <w:bottom w:val="single" w:sz="4" w:space="0" w:color="A5A5A5" w:themeColor="accent1" w:themeShade="BF"/>
              <w:right w:val="single" w:sz="4" w:space="0" w:color="A5A5A5" w:themeColor="accent1" w:themeShade="BF"/>
            </w:tcBorders>
            <w:shd w:val="clear" w:color="auto" w:fill="auto"/>
          </w:tcPr>
          <w:p w14:paraId="04F7D536" w14:textId="77777777" w:rsidR="00E6522D" w:rsidRPr="00B11898" w:rsidRDefault="00E6522D" w:rsidP="00AB2342">
            <w:pPr>
              <w:cnfStyle w:val="000000100000" w:firstRow="0" w:lastRow="0" w:firstColumn="0" w:lastColumn="0" w:oddVBand="0" w:evenVBand="0" w:oddHBand="1" w:evenHBand="0" w:firstRowFirstColumn="0" w:firstRowLastColumn="0" w:lastRowFirstColumn="0" w:lastRowLastColumn="0"/>
              <w:rPr>
                <w:rFonts w:eastAsia="Calibri" w:cstheme="minorHAnsi"/>
                <w:lang w:val="en-US"/>
              </w:rPr>
            </w:pPr>
            <w:r w:rsidRPr="00B11898">
              <w:rPr>
                <w:rFonts w:eastAsia="Calibri" w:cstheme="minorHAnsi"/>
                <w:lang w:val="en-US"/>
              </w:rPr>
              <w:t>OPS Customer Service Standards for emails and online messages require responses to be acknowledged within two business days and answered within 15 days.  Best practice protocols in place for assisting staff in responding.</w:t>
            </w:r>
          </w:p>
          <w:p w14:paraId="32BB23ED" w14:textId="77777777" w:rsidR="00E6522D" w:rsidRPr="00B11898" w:rsidRDefault="00E6522D" w:rsidP="00AB2342">
            <w:pPr>
              <w:cnfStyle w:val="000000100000" w:firstRow="0" w:lastRow="0" w:firstColumn="0" w:lastColumn="0" w:oddVBand="0" w:evenVBand="0" w:oddHBand="1" w:evenHBand="0" w:firstRowFirstColumn="0" w:firstRowLastColumn="0" w:lastRowFirstColumn="0" w:lastRowLastColumn="0"/>
              <w:rPr>
                <w:rFonts w:eastAsia="Calibri" w:cstheme="minorHAnsi"/>
                <w:lang w:val="en-US"/>
              </w:rPr>
            </w:pPr>
          </w:p>
          <w:p w14:paraId="17E7A508" w14:textId="77777777" w:rsidR="00E6522D" w:rsidRDefault="00E6522D" w:rsidP="00AB2342">
            <w:pPr>
              <w:cnfStyle w:val="000000100000" w:firstRow="0" w:lastRow="0" w:firstColumn="0" w:lastColumn="0" w:oddVBand="0" w:evenVBand="0" w:oddHBand="1" w:evenHBand="0" w:firstRowFirstColumn="0" w:firstRowLastColumn="0" w:lastRowFirstColumn="0" w:lastRowLastColumn="0"/>
              <w:rPr>
                <w:rFonts w:eastAsia="Calibri" w:cstheme="minorHAnsi"/>
                <w:lang w:val="en-US"/>
              </w:rPr>
            </w:pPr>
            <w:r w:rsidRPr="00B11898">
              <w:rPr>
                <w:rFonts w:eastAsia="Calibri" w:cstheme="minorHAnsi"/>
                <w:lang w:val="en-US"/>
              </w:rPr>
              <w:t>If a conclusive response is not possible, an interim response, along with an estimated date for a complete response, will be provided within 15 days.</w:t>
            </w:r>
          </w:p>
          <w:p w14:paraId="505E147D" w14:textId="1E49FFD1" w:rsidR="00AE56FC" w:rsidRPr="00B11898" w:rsidRDefault="00AE56FC" w:rsidP="00AB2342">
            <w:pPr>
              <w:cnfStyle w:val="000000100000" w:firstRow="0" w:lastRow="0" w:firstColumn="0" w:lastColumn="0" w:oddVBand="0" w:evenVBand="0" w:oddHBand="1" w:evenHBand="0" w:firstRowFirstColumn="0" w:firstRowLastColumn="0" w:lastRowFirstColumn="0" w:lastRowLastColumn="0"/>
              <w:rPr>
                <w:rFonts w:eastAsia="Calibri" w:cstheme="minorHAnsi"/>
                <w:lang w:val="en-US"/>
              </w:rPr>
            </w:pPr>
          </w:p>
        </w:tc>
        <w:tc>
          <w:tcPr>
            <w:tcW w:w="4050" w:type="dxa"/>
            <w:tcBorders>
              <w:top w:val="single" w:sz="4" w:space="0" w:color="A5A5A5" w:themeColor="accent1" w:themeShade="BF"/>
              <w:left w:val="single" w:sz="4" w:space="0" w:color="A5A5A5" w:themeColor="accent1" w:themeShade="BF"/>
              <w:bottom w:val="single" w:sz="4" w:space="0" w:color="A5A5A5" w:themeColor="accent1" w:themeShade="BF"/>
              <w:right w:val="single" w:sz="4" w:space="0" w:color="A5A5A5" w:themeColor="accent1" w:themeShade="BF"/>
            </w:tcBorders>
            <w:shd w:val="clear" w:color="auto" w:fill="auto"/>
          </w:tcPr>
          <w:p w14:paraId="4444CDA3" w14:textId="77777777" w:rsidR="00E6522D" w:rsidRDefault="00E6522D" w:rsidP="00E6522D">
            <w:pPr>
              <w:pStyle w:val="ListParagraph"/>
              <w:numPr>
                <w:ilvl w:val="0"/>
                <w:numId w:val="28"/>
              </w:numPr>
              <w:ind w:left="162" w:hanging="162"/>
              <w:cnfStyle w:val="000000100000" w:firstRow="0" w:lastRow="0" w:firstColumn="0" w:lastColumn="0" w:oddVBand="0" w:evenVBand="0" w:oddHBand="1" w:evenHBand="0" w:firstRowFirstColumn="0" w:firstRowLastColumn="0" w:lastRowFirstColumn="0" w:lastRowLastColumn="0"/>
              <w:rPr>
                <w:rFonts w:eastAsia="Calibri" w:cstheme="minorHAnsi"/>
              </w:rPr>
            </w:pPr>
            <w:r w:rsidRPr="00B11898">
              <w:rPr>
                <w:rFonts w:eastAsia="Calibri" w:cstheme="minorHAnsi"/>
              </w:rPr>
              <w:t>Achieved, with minor exceptions.  NEC has protocols in place to respond to inquiries in timely manner.</w:t>
            </w:r>
          </w:p>
          <w:p w14:paraId="1E91B1F8" w14:textId="77777777" w:rsidR="00E6522D" w:rsidRPr="00B11898" w:rsidRDefault="00E6522D" w:rsidP="00E6522D">
            <w:pPr>
              <w:pStyle w:val="ListParagraph"/>
              <w:numPr>
                <w:ilvl w:val="0"/>
                <w:numId w:val="28"/>
              </w:numPr>
              <w:ind w:left="162" w:hanging="162"/>
              <w:cnfStyle w:val="000000100000" w:firstRow="0" w:lastRow="0" w:firstColumn="0" w:lastColumn="0" w:oddVBand="0" w:evenVBand="0" w:oddHBand="1" w:evenHBand="0" w:firstRowFirstColumn="0" w:firstRowLastColumn="0" w:lastRowFirstColumn="0" w:lastRowLastColumn="0"/>
              <w:rPr>
                <w:rFonts w:eastAsia="Calibri" w:cstheme="minorHAnsi"/>
              </w:rPr>
            </w:pPr>
            <w:r>
              <w:rPr>
                <w:rFonts w:eastAsia="Calibri" w:cstheme="minorHAnsi"/>
              </w:rPr>
              <w:t>NEC staff provide interim responses where conclusive response not possible.</w:t>
            </w:r>
          </w:p>
        </w:tc>
      </w:tr>
      <w:tr w:rsidR="00E6522D" w:rsidRPr="003018E8" w14:paraId="7BA64302" w14:textId="77777777" w:rsidTr="004D7C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Borders>
              <w:top w:val="single" w:sz="4" w:space="0" w:color="A5A5A5" w:themeColor="accent1" w:themeShade="BF"/>
              <w:left w:val="single" w:sz="4" w:space="0" w:color="A5A5A5" w:themeColor="accent1" w:themeShade="BF"/>
              <w:bottom w:val="single" w:sz="4" w:space="0" w:color="A5A5A5" w:themeColor="accent1" w:themeShade="BF"/>
              <w:right w:val="single" w:sz="4" w:space="0" w:color="A5A5A5" w:themeColor="accent1" w:themeShade="BF"/>
            </w:tcBorders>
            <w:shd w:val="clear" w:color="auto" w:fill="auto"/>
          </w:tcPr>
          <w:p w14:paraId="05CAEA6D" w14:textId="77777777" w:rsidR="00E6522D" w:rsidRPr="004D7CB9" w:rsidRDefault="00E6522D" w:rsidP="00AB2342">
            <w:pPr>
              <w:rPr>
                <w:rFonts w:eastAsia="Calibri" w:cstheme="minorHAnsi"/>
                <w:b w:val="0"/>
                <w:bCs w:val="0"/>
                <w:sz w:val="22"/>
                <w:szCs w:val="20"/>
                <w:lang w:val="en-US"/>
              </w:rPr>
            </w:pPr>
            <w:r w:rsidRPr="004D7CB9">
              <w:rPr>
                <w:rFonts w:asciiTheme="minorHAnsi" w:eastAsia="Calibri" w:hAnsiTheme="minorHAnsi" w:cstheme="minorHAnsi"/>
                <w:sz w:val="22"/>
                <w:szCs w:val="20"/>
                <w:lang w:val="en-US"/>
              </w:rPr>
              <w:t xml:space="preserve">Provide Relevant Information:  </w:t>
            </w:r>
          </w:p>
          <w:p w14:paraId="5FF38440" w14:textId="77777777" w:rsidR="00E6522D" w:rsidRDefault="00E6522D" w:rsidP="00AB2342">
            <w:pPr>
              <w:rPr>
                <w:rFonts w:eastAsia="Calibri" w:cstheme="minorHAnsi"/>
                <w:b w:val="0"/>
                <w:bCs w:val="0"/>
                <w:sz w:val="22"/>
                <w:szCs w:val="20"/>
                <w:lang w:val="en-US"/>
              </w:rPr>
            </w:pPr>
            <w:r w:rsidRPr="004D7CB9">
              <w:rPr>
                <w:rFonts w:asciiTheme="minorHAnsi" w:eastAsia="Calibri" w:hAnsiTheme="minorHAnsi" w:cstheme="minorHAnsi"/>
                <w:sz w:val="22"/>
                <w:szCs w:val="20"/>
                <w:lang w:val="en-US"/>
              </w:rPr>
              <w:t>Application Guidelines, Forms, Maps, and Publications.</w:t>
            </w:r>
          </w:p>
          <w:p w14:paraId="549005C1" w14:textId="58EEE5D2" w:rsidR="004D7CB9" w:rsidRPr="004D7CB9" w:rsidRDefault="004D7CB9" w:rsidP="00AB2342">
            <w:pPr>
              <w:rPr>
                <w:rFonts w:asciiTheme="minorHAnsi" w:eastAsia="Calibri" w:hAnsiTheme="minorHAnsi" w:cstheme="minorHAnsi"/>
                <w:sz w:val="22"/>
                <w:szCs w:val="20"/>
                <w:lang w:val="en-US"/>
              </w:rPr>
            </w:pPr>
          </w:p>
        </w:tc>
        <w:tc>
          <w:tcPr>
            <w:tcW w:w="3992" w:type="dxa"/>
            <w:tcBorders>
              <w:top w:val="single" w:sz="4" w:space="0" w:color="A5A5A5" w:themeColor="accent1" w:themeShade="BF"/>
              <w:left w:val="single" w:sz="4" w:space="0" w:color="A5A5A5" w:themeColor="accent1" w:themeShade="BF"/>
              <w:bottom w:val="single" w:sz="4" w:space="0" w:color="A5A5A5" w:themeColor="accent1" w:themeShade="BF"/>
              <w:right w:val="single" w:sz="4" w:space="0" w:color="A5A5A5" w:themeColor="accent1" w:themeShade="BF"/>
            </w:tcBorders>
            <w:shd w:val="clear" w:color="auto" w:fill="auto"/>
          </w:tcPr>
          <w:p w14:paraId="343992C2" w14:textId="77777777" w:rsidR="00E6522D" w:rsidRPr="00B11898" w:rsidRDefault="00E6522D" w:rsidP="00AB2342">
            <w:pPr>
              <w:cnfStyle w:val="000000010000" w:firstRow="0" w:lastRow="0" w:firstColumn="0" w:lastColumn="0" w:oddVBand="0" w:evenVBand="0" w:oddHBand="0" w:evenHBand="1" w:firstRowFirstColumn="0" w:firstRowLastColumn="0" w:lastRowFirstColumn="0" w:lastRowLastColumn="0"/>
              <w:rPr>
                <w:rFonts w:eastAsia="Calibri" w:cstheme="minorHAnsi"/>
                <w:lang w:val="en-US"/>
              </w:rPr>
            </w:pPr>
            <w:r w:rsidRPr="00B11898">
              <w:rPr>
                <w:rFonts w:eastAsia="Calibri" w:cstheme="minorHAnsi"/>
                <w:lang w:val="en-US"/>
              </w:rPr>
              <w:t>Current guidelines, maps and application</w:t>
            </w:r>
            <w:r>
              <w:rPr>
                <w:rFonts w:eastAsia="Calibri" w:cstheme="minorHAnsi"/>
                <w:lang w:val="en-US"/>
              </w:rPr>
              <w:t xml:space="preserve"> forms</w:t>
            </w:r>
            <w:r w:rsidRPr="00B11898">
              <w:rPr>
                <w:rFonts w:eastAsia="Calibri" w:cstheme="minorHAnsi"/>
                <w:lang w:val="en-US"/>
              </w:rPr>
              <w:t xml:space="preserve"> are provided to clients and the public in both electronic (on NEC website) and printed formats.</w:t>
            </w:r>
          </w:p>
        </w:tc>
        <w:tc>
          <w:tcPr>
            <w:tcW w:w="4050" w:type="dxa"/>
            <w:tcBorders>
              <w:top w:val="single" w:sz="4" w:space="0" w:color="A5A5A5" w:themeColor="accent1" w:themeShade="BF"/>
              <w:left w:val="single" w:sz="4" w:space="0" w:color="A5A5A5" w:themeColor="accent1" w:themeShade="BF"/>
              <w:bottom w:val="single" w:sz="4" w:space="0" w:color="A5A5A5" w:themeColor="accent1" w:themeShade="BF"/>
              <w:right w:val="single" w:sz="4" w:space="0" w:color="A5A5A5" w:themeColor="accent1" w:themeShade="BF"/>
            </w:tcBorders>
            <w:shd w:val="clear" w:color="auto" w:fill="auto"/>
          </w:tcPr>
          <w:p w14:paraId="1FBFE78F" w14:textId="77777777" w:rsidR="00E6522D" w:rsidRDefault="00E6522D" w:rsidP="00E6522D">
            <w:pPr>
              <w:pStyle w:val="ListParagraph"/>
              <w:numPr>
                <w:ilvl w:val="0"/>
                <w:numId w:val="28"/>
              </w:numPr>
              <w:ind w:left="162" w:hanging="162"/>
              <w:cnfStyle w:val="000000010000" w:firstRow="0" w:lastRow="0" w:firstColumn="0" w:lastColumn="0" w:oddVBand="0" w:evenVBand="0" w:oddHBand="0" w:evenHBand="1" w:firstRowFirstColumn="0" w:firstRowLastColumn="0" w:lastRowFirstColumn="0" w:lastRowLastColumn="0"/>
              <w:rPr>
                <w:rFonts w:eastAsia="Calibri" w:cstheme="minorHAnsi"/>
              </w:rPr>
            </w:pPr>
            <w:r w:rsidRPr="00B11898">
              <w:rPr>
                <w:rFonts w:eastAsia="Calibri" w:cstheme="minorHAnsi"/>
              </w:rPr>
              <w:t>NEC information available to the public</w:t>
            </w:r>
            <w:r>
              <w:rPr>
                <w:rFonts w:eastAsia="Calibri" w:cstheme="minorHAnsi"/>
              </w:rPr>
              <w:t xml:space="preserve"> via website and on</w:t>
            </w:r>
            <w:r w:rsidRPr="00B11898">
              <w:rPr>
                <w:rFonts w:eastAsia="Calibri" w:cstheme="minorHAnsi"/>
              </w:rPr>
              <w:t xml:space="preserve"> request.</w:t>
            </w:r>
          </w:p>
          <w:p w14:paraId="20230C94" w14:textId="77777777" w:rsidR="00E6522D" w:rsidRPr="000742F3" w:rsidRDefault="00E6522D" w:rsidP="00E6522D">
            <w:pPr>
              <w:pStyle w:val="ListParagraph"/>
              <w:numPr>
                <w:ilvl w:val="0"/>
                <w:numId w:val="28"/>
              </w:numPr>
              <w:ind w:left="162" w:hanging="162"/>
              <w:cnfStyle w:val="000000010000" w:firstRow="0" w:lastRow="0" w:firstColumn="0" w:lastColumn="0" w:oddVBand="0" w:evenVBand="0" w:oddHBand="0" w:evenHBand="1" w:firstRowFirstColumn="0" w:firstRowLastColumn="0" w:lastRowFirstColumn="0" w:lastRowLastColumn="0"/>
              <w:rPr>
                <w:rFonts w:eastAsia="Calibri" w:cstheme="minorHAnsi"/>
              </w:rPr>
            </w:pPr>
            <w:r>
              <w:rPr>
                <w:rFonts w:eastAsia="Calibri" w:cstheme="minorHAnsi"/>
              </w:rPr>
              <w:t>Due to office closures printed materials were not available.</w:t>
            </w:r>
          </w:p>
        </w:tc>
      </w:tr>
      <w:tr w:rsidR="00E6522D" w:rsidRPr="003018E8" w14:paraId="0EF171D1" w14:textId="77777777" w:rsidTr="004D7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Borders>
              <w:top w:val="single" w:sz="4" w:space="0" w:color="A5A5A5" w:themeColor="accent1" w:themeShade="BF"/>
              <w:left w:val="single" w:sz="4" w:space="0" w:color="A5A5A5" w:themeColor="accent1" w:themeShade="BF"/>
              <w:bottom w:val="single" w:sz="4" w:space="0" w:color="A5A5A5" w:themeColor="accent1" w:themeShade="BF"/>
              <w:right w:val="single" w:sz="4" w:space="0" w:color="A5A5A5" w:themeColor="accent1" w:themeShade="BF"/>
            </w:tcBorders>
            <w:shd w:val="clear" w:color="auto" w:fill="auto"/>
          </w:tcPr>
          <w:p w14:paraId="64951324" w14:textId="77777777" w:rsidR="004D7CB9" w:rsidRDefault="004D7CB9" w:rsidP="00AB2342">
            <w:pPr>
              <w:rPr>
                <w:rFonts w:eastAsia="Calibri" w:cstheme="minorHAnsi"/>
                <w:b w:val="0"/>
                <w:bCs w:val="0"/>
                <w:sz w:val="22"/>
                <w:szCs w:val="20"/>
                <w:lang w:val="en-US"/>
              </w:rPr>
            </w:pPr>
          </w:p>
          <w:p w14:paraId="5FF1422C" w14:textId="77777777" w:rsidR="004D7CB9" w:rsidRDefault="004D7CB9" w:rsidP="00AB2342">
            <w:pPr>
              <w:rPr>
                <w:rFonts w:eastAsia="Calibri" w:cstheme="minorHAnsi"/>
                <w:b w:val="0"/>
                <w:bCs w:val="0"/>
                <w:sz w:val="22"/>
                <w:szCs w:val="20"/>
                <w:lang w:val="en-US"/>
              </w:rPr>
            </w:pPr>
          </w:p>
          <w:p w14:paraId="0781E8CA" w14:textId="77777777" w:rsidR="004D7CB9" w:rsidRDefault="004D7CB9" w:rsidP="00AB2342">
            <w:pPr>
              <w:rPr>
                <w:rFonts w:eastAsia="Calibri" w:cstheme="minorHAnsi"/>
                <w:b w:val="0"/>
                <w:bCs w:val="0"/>
                <w:sz w:val="22"/>
                <w:szCs w:val="20"/>
                <w:lang w:val="en-US"/>
              </w:rPr>
            </w:pPr>
          </w:p>
          <w:p w14:paraId="3FBE8B25" w14:textId="77777777" w:rsidR="004D7CB9" w:rsidRDefault="004D7CB9" w:rsidP="00AB2342">
            <w:pPr>
              <w:rPr>
                <w:rFonts w:eastAsia="Calibri" w:cstheme="minorHAnsi"/>
                <w:b w:val="0"/>
                <w:bCs w:val="0"/>
                <w:sz w:val="22"/>
                <w:szCs w:val="20"/>
                <w:lang w:val="en-US"/>
              </w:rPr>
            </w:pPr>
          </w:p>
          <w:p w14:paraId="1B969D77" w14:textId="77777777" w:rsidR="004D7CB9" w:rsidRDefault="004D7CB9" w:rsidP="00AB2342">
            <w:pPr>
              <w:rPr>
                <w:rFonts w:eastAsia="Calibri" w:cstheme="minorHAnsi"/>
                <w:b w:val="0"/>
                <w:bCs w:val="0"/>
                <w:sz w:val="22"/>
                <w:szCs w:val="20"/>
                <w:lang w:val="en-US"/>
              </w:rPr>
            </w:pPr>
          </w:p>
          <w:p w14:paraId="34659B3D" w14:textId="0BECEEEC" w:rsidR="00E6522D" w:rsidRPr="004D7CB9" w:rsidRDefault="00E6522D" w:rsidP="00AB2342">
            <w:pPr>
              <w:rPr>
                <w:rFonts w:asciiTheme="minorHAnsi" w:eastAsia="Calibri" w:hAnsiTheme="minorHAnsi" w:cstheme="minorHAnsi"/>
                <w:sz w:val="22"/>
                <w:szCs w:val="20"/>
                <w:lang w:val="en-US"/>
              </w:rPr>
            </w:pPr>
            <w:r w:rsidRPr="004D7CB9">
              <w:rPr>
                <w:rFonts w:asciiTheme="minorHAnsi" w:eastAsia="Calibri" w:hAnsiTheme="minorHAnsi" w:cstheme="minorHAnsi"/>
                <w:sz w:val="22"/>
                <w:szCs w:val="20"/>
                <w:lang w:val="en-US"/>
              </w:rPr>
              <w:t>Development Permit Applications</w:t>
            </w:r>
          </w:p>
        </w:tc>
        <w:tc>
          <w:tcPr>
            <w:tcW w:w="3992" w:type="dxa"/>
            <w:tcBorders>
              <w:top w:val="single" w:sz="4" w:space="0" w:color="A5A5A5" w:themeColor="accent1" w:themeShade="BF"/>
              <w:left w:val="single" w:sz="4" w:space="0" w:color="A5A5A5" w:themeColor="accent1" w:themeShade="BF"/>
              <w:bottom w:val="single" w:sz="4" w:space="0" w:color="A5A5A5" w:themeColor="accent1" w:themeShade="BF"/>
              <w:right w:val="single" w:sz="4" w:space="0" w:color="A5A5A5" w:themeColor="accent1" w:themeShade="BF"/>
            </w:tcBorders>
            <w:shd w:val="clear" w:color="auto" w:fill="auto"/>
          </w:tcPr>
          <w:p w14:paraId="39014236" w14:textId="77777777" w:rsidR="00E6522D" w:rsidRPr="00B11898" w:rsidRDefault="00E6522D" w:rsidP="00AB2342">
            <w:pPr>
              <w:cnfStyle w:val="000000100000" w:firstRow="0" w:lastRow="0" w:firstColumn="0" w:lastColumn="0" w:oddVBand="0" w:evenVBand="0" w:oddHBand="1" w:evenHBand="0" w:firstRowFirstColumn="0" w:firstRowLastColumn="0" w:lastRowFirstColumn="0" w:lastRowLastColumn="0"/>
              <w:rPr>
                <w:rFonts w:eastAsia="Calibri" w:cstheme="minorHAnsi"/>
                <w:lang w:val="en-US"/>
              </w:rPr>
            </w:pPr>
            <w:r w:rsidRPr="00B11898">
              <w:rPr>
                <w:rFonts w:eastAsia="Calibri" w:cstheme="minorHAnsi"/>
                <w:lang w:val="en-US"/>
              </w:rPr>
              <w:t>NEC decision time varies depending upon the complexity of the application, the time required to obtain a complete application and comments from agencies.  The following measures reflect elements of the process within the NEC’s control</w:t>
            </w:r>
            <w:r>
              <w:rPr>
                <w:rFonts w:eastAsia="Calibri" w:cstheme="minorHAnsi"/>
                <w:lang w:val="en-US"/>
              </w:rPr>
              <w:t>:</w:t>
            </w:r>
          </w:p>
          <w:p w14:paraId="0055DD4D" w14:textId="77777777" w:rsidR="00E6522D" w:rsidRPr="00B11898" w:rsidRDefault="00E6522D" w:rsidP="00E6522D">
            <w:pPr>
              <w:pStyle w:val="ListParagraph"/>
              <w:numPr>
                <w:ilvl w:val="0"/>
                <w:numId w:val="28"/>
              </w:numPr>
              <w:ind w:left="162" w:hanging="162"/>
              <w:cnfStyle w:val="000000100000" w:firstRow="0" w:lastRow="0" w:firstColumn="0" w:lastColumn="0" w:oddVBand="0" w:evenVBand="0" w:oddHBand="1" w:evenHBand="0" w:firstRowFirstColumn="0" w:firstRowLastColumn="0" w:lastRowFirstColumn="0" w:lastRowLastColumn="0"/>
              <w:rPr>
                <w:rFonts w:eastAsia="Calibri" w:cstheme="minorHAnsi"/>
              </w:rPr>
            </w:pPr>
            <w:r w:rsidRPr="00B11898">
              <w:rPr>
                <w:rFonts w:eastAsia="Calibri" w:cstheme="minorHAnsi"/>
              </w:rPr>
              <w:t xml:space="preserve">NEC follows process for Development Permits as set out in the NEPDA.  </w:t>
            </w:r>
          </w:p>
          <w:p w14:paraId="7917719D" w14:textId="77777777" w:rsidR="00E6522D" w:rsidRPr="00B11898" w:rsidRDefault="00E6522D" w:rsidP="00E6522D">
            <w:pPr>
              <w:pStyle w:val="ListParagraph"/>
              <w:numPr>
                <w:ilvl w:val="0"/>
                <w:numId w:val="28"/>
              </w:numPr>
              <w:ind w:left="162" w:hanging="162"/>
              <w:cnfStyle w:val="000000100000" w:firstRow="0" w:lastRow="0" w:firstColumn="0" w:lastColumn="0" w:oddVBand="0" w:evenVBand="0" w:oddHBand="1" w:evenHBand="0" w:firstRowFirstColumn="0" w:firstRowLastColumn="0" w:lastRowFirstColumn="0" w:lastRowLastColumn="0"/>
              <w:rPr>
                <w:rFonts w:eastAsia="Calibri" w:cstheme="minorHAnsi"/>
              </w:rPr>
            </w:pPr>
            <w:r w:rsidRPr="00B11898">
              <w:rPr>
                <w:rFonts w:eastAsia="Calibri" w:cstheme="minorHAnsi"/>
              </w:rPr>
              <w:t>Agencies and municipalities are provided the opportunity to comment on applications.</w:t>
            </w:r>
          </w:p>
          <w:p w14:paraId="136E9F68" w14:textId="77777777" w:rsidR="00E6522D" w:rsidRPr="00B11898" w:rsidRDefault="00E6522D" w:rsidP="00E6522D">
            <w:pPr>
              <w:pStyle w:val="ListParagraph"/>
              <w:numPr>
                <w:ilvl w:val="0"/>
                <w:numId w:val="28"/>
              </w:numPr>
              <w:ind w:left="162" w:hanging="162"/>
              <w:cnfStyle w:val="000000100000" w:firstRow="0" w:lastRow="0" w:firstColumn="0" w:lastColumn="0" w:oddVBand="0" w:evenVBand="0" w:oddHBand="1" w:evenHBand="0" w:firstRowFirstColumn="0" w:firstRowLastColumn="0" w:lastRowFirstColumn="0" w:lastRowLastColumn="0"/>
              <w:rPr>
                <w:rFonts w:eastAsia="Calibri" w:cstheme="minorHAnsi"/>
              </w:rPr>
            </w:pPr>
            <w:r w:rsidRPr="00B11898">
              <w:rPr>
                <w:rFonts w:eastAsia="Calibri" w:cstheme="minorHAnsi"/>
              </w:rPr>
              <w:t>Notices of Decision sent out within 2 business days of decision being made.</w:t>
            </w:r>
          </w:p>
          <w:p w14:paraId="15E614F4" w14:textId="77777777" w:rsidR="00E6522D" w:rsidRPr="00B11898" w:rsidRDefault="00E6522D" w:rsidP="00E6522D">
            <w:pPr>
              <w:pStyle w:val="ListParagraph"/>
              <w:numPr>
                <w:ilvl w:val="0"/>
                <w:numId w:val="28"/>
              </w:numPr>
              <w:ind w:left="162" w:hanging="162"/>
              <w:cnfStyle w:val="000000100000" w:firstRow="0" w:lastRow="0" w:firstColumn="0" w:lastColumn="0" w:oddVBand="0" w:evenVBand="0" w:oddHBand="1" w:evenHBand="0" w:firstRowFirstColumn="0" w:firstRowLastColumn="0" w:lastRowFirstColumn="0" w:lastRowLastColumn="0"/>
              <w:rPr>
                <w:rFonts w:eastAsia="Calibri" w:cstheme="minorHAnsi"/>
              </w:rPr>
            </w:pPr>
            <w:r w:rsidRPr="00B11898">
              <w:rPr>
                <w:rFonts w:eastAsia="Calibri" w:cstheme="minorHAnsi"/>
              </w:rPr>
              <w:t>Development Permits issued promptly after clearance of conditions of approval.</w:t>
            </w:r>
          </w:p>
          <w:p w14:paraId="36BE82A6" w14:textId="77777777" w:rsidR="00E6522D" w:rsidRPr="00B11898" w:rsidRDefault="00E6522D" w:rsidP="00AB2342">
            <w:pPr>
              <w:cnfStyle w:val="000000100000" w:firstRow="0" w:lastRow="0" w:firstColumn="0" w:lastColumn="0" w:oddVBand="0" w:evenVBand="0" w:oddHBand="1" w:evenHBand="0" w:firstRowFirstColumn="0" w:firstRowLastColumn="0" w:lastRowFirstColumn="0" w:lastRowLastColumn="0"/>
              <w:rPr>
                <w:rFonts w:eastAsia="Calibri" w:cstheme="minorHAnsi"/>
                <w:lang w:val="en-US"/>
              </w:rPr>
            </w:pPr>
          </w:p>
          <w:p w14:paraId="45A6E203" w14:textId="77777777" w:rsidR="00E6522D" w:rsidRPr="00B11898" w:rsidRDefault="00E6522D" w:rsidP="00AB2342">
            <w:pPr>
              <w:cnfStyle w:val="000000100000" w:firstRow="0" w:lastRow="0" w:firstColumn="0" w:lastColumn="0" w:oddVBand="0" w:evenVBand="0" w:oddHBand="1" w:evenHBand="0" w:firstRowFirstColumn="0" w:firstRowLastColumn="0" w:lastRowFirstColumn="0" w:lastRowLastColumn="0"/>
              <w:rPr>
                <w:rFonts w:eastAsia="Calibri" w:cstheme="minorHAnsi"/>
                <w:lang w:val="en-US"/>
              </w:rPr>
            </w:pPr>
          </w:p>
          <w:p w14:paraId="2E396069" w14:textId="77777777" w:rsidR="00E6522D" w:rsidRPr="00B11898" w:rsidRDefault="00E6522D" w:rsidP="00AB2342">
            <w:pPr>
              <w:cnfStyle w:val="000000100000" w:firstRow="0" w:lastRow="0" w:firstColumn="0" w:lastColumn="0" w:oddVBand="0" w:evenVBand="0" w:oddHBand="1" w:evenHBand="0" w:firstRowFirstColumn="0" w:firstRowLastColumn="0" w:lastRowFirstColumn="0" w:lastRowLastColumn="0"/>
              <w:rPr>
                <w:rFonts w:eastAsia="Calibri" w:cstheme="minorHAnsi"/>
                <w:lang w:val="en-US"/>
              </w:rPr>
            </w:pPr>
          </w:p>
          <w:p w14:paraId="6A347562" w14:textId="77777777" w:rsidR="00E6522D" w:rsidRPr="00B11898" w:rsidRDefault="00E6522D" w:rsidP="00AB2342">
            <w:pPr>
              <w:cnfStyle w:val="000000100000" w:firstRow="0" w:lastRow="0" w:firstColumn="0" w:lastColumn="0" w:oddVBand="0" w:evenVBand="0" w:oddHBand="1" w:evenHBand="0" w:firstRowFirstColumn="0" w:firstRowLastColumn="0" w:lastRowFirstColumn="0" w:lastRowLastColumn="0"/>
              <w:rPr>
                <w:rFonts w:eastAsia="Calibri" w:cstheme="minorHAnsi"/>
                <w:lang w:val="en-US"/>
              </w:rPr>
            </w:pPr>
          </w:p>
        </w:tc>
        <w:tc>
          <w:tcPr>
            <w:tcW w:w="4050" w:type="dxa"/>
            <w:tcBorders>
              <w:top w:val="single" w:sz="4" w:space="0" w:color="A5A5A5" w:themeColor="accent1" w:themeShade="BF"/>
              <w:left w:val="single" w:sz="4" w:space="0" w:color="A5A5A5" w:themeColor="accent1" w:themeShade="BF"/>
              <w:bottom w:val="single" w:sz="4" w:space="0" w:color="A5A5A5" w:themeColor="accent1" w:themeShade="BF"/>
              <w:right w:val="single" w:sz="4" w:space="0" w:color="A5A5A5" w:themeColor="accent1" w:themeShade="BF"/>
            </w:tcBorders>
            <w:shd w:val="clear" w:color="auto" w:fill="auto"/>
          </w:tcPr>
          <w:p w14:paraId="79881740" w14:textId="77777777" w:rsidR="00E6522D" w:rsidRPr="00B11898" w:rsidRDefault="00E6522D" w:rsidP="00E6522D">
            <w:pPr>
              <w:pStyle w:val="ListParagraph"/>
              <w:numPr>
                <w:ilvl w:val="0"/>
                <w:numId w:val="28"/>
              </w:numPr>
              <w:ind w:left="162" w:hanging="162"/>
              <w:cnfStyle w:val="000000100000" w:firstRow="0" w:lastRow="0" w:firstColumn="0" w:lastColumn="0" w:oddVBand="0" w:evenVBand="0" w:oddHBand="1" w:evenHBand="0" w:firstRowFirstColumn="0" w:firstRowLastColumn="0" w:lastRowFirstColumn="0" w:lastRowLastColumn="0"/>
              <w:rPr>
                <w:rFonts w:eastAsia="Calibri"/>
              </w:rPr>
            </w:pPr>
            <w:r w:rsidRPr="76B8E584">
              <w:rPr>
                <w:rFonts w:eastAsia="Calibri"/>
              </w:rPr>
              <w:lastRenderedPageBreak/>
              <w:t>Total of</w:t>
            </w:r>
            <w:r>
              <w:rPr>
                <w:rFonts w:eastAsia="Calibri"/>
              </w:rPr>
              <w:t xml:space="preserve"> 757</w:t>
            </w:r>
            <w:r w:rsidRPr="76B8E584">
              <w:rPr>
                <w:rFonts w:eastAsia="Calibri"/>
              </w:rPr>
              <w:t xml:space="preserve"> development permits received in 20</w:t>
            </w:r>
            <w:r>
              <w:rPr>
                <w:rFonts w:eastAsia="Calibri"/>
              </w:rPr>
              <w:t>20</w:t>
            </w:r>
            <w:r w:rsidRPr="76B8E584">
              <w:rPr>
                <w:rFonts w:eastAsia="Calibri"/>
              </w:rPr>
              <w:t>/2</w:t>
            </w:r>
            <w:r>
              <w:rPr>
                <w:rFonts w:eastAsia="Calibri"/>
              </w:rPr>
              <w:t>1</w:t>
            </w:r>
            <w:r w:rsidRPr="76B8E584">
              <w:rPr>
                <w:rFonts w:eastAsia="Calibri"/>
              </w:rPr>
              <w:t>.  NEC processed</w:t>
            </w:r>
            <w:r>
              <w:rPr>
                <w:rFonts w:eastAsia="Calibri"/>
              </w:rPr>
              <w:t xml:space="preserve"> 534</w:t>
            </w:r>
            <w:r w:rsidRPr="76B8E584">
              <w:rPr>
                <w:rFonts w:eastAsia="Calibri"/>
              </w:rPr>
              <w:t xml:space="preserve"> permits.</w:t>
            </w:r>
          </w:p>
          <w:p w14:paraId="74F0EC9B" w14:textId="77777777" w:rsidR="00E6522D" w:rsidRPr="00B11898" w:rsidRDefault="00E6522D" w:rsidP="00E6522D">
            <w:pPr>
              <w:pStyle w:val="ListParagraph"/>
              <w:numPr>
                <w:ilvl w:val="0"/>
                <w:numId w:val="28"/>
              </w:numPr>
              <w:ind w:left="162" w:hanging="162"/>
              <w:cnfStyle w:val="000000100000" w:firstRow="0" w:lastRow="0" w:firstColumn="0" w:lastColumn="0" w:oddVBand="0" w:evenVBand="0" w:oddHBand="1" w:evenHBand="0" w:firstRowFirstColumn="0" w:firstRowLastColumn="0" w:lastRowFirstColumn="0" w:lastRowLastColumn="0"/>
              <w:rPr>
                <w:rFonts w:eastAsia="Calibri" w:cstheme="minorHAnsi"/>
              </w:rPr>
            </w:pPr>
            <w:r>
              <w:rPr>
                <w:rFonts w:eastAsia="Calibri" w:cstheme="minorHAnsi"/>
              </w:rPr>
              <w:t>Geographically based t</w:t>
            </w:r>
            <w:r w:rsidRPr="00B11898">
              <w:rPr>
                <w:rFonts w:eastAsia="Calibri" w:cstheme="minorHAnsi"/>
              </w:rPr>
              <w:t>eams actively triaging applications to advance those ready to proceed to decision.</w:t>
            </w:r>
          </w:p>
          <w:p w14:paraId="59B1E7F9" w14:textId="77777777" w:rsidR="00E6522D" w:rsidRPr="00B11898" w:rsidRDefault="00E6522D" w:rsidP="00E6522D">
            <w:pPr>
              <w:pStyle w:val="ListParagraph"/>
              <w:numPr>
                <w:ilvl w:val="0"/>
                <w:numId w:val="28"/>
              </w:numPr>
              <w:ind w:left="162" w:hanging="162"/>
              <w:cnfStyle w:val="000000100000" w:firstRow="0" w:lastRow="0" w:firstColumn="0" w:lastColumn="0" w:oddVBand="0" w:evenVBand="0" w:oddHBand="1" w:evenHBand="0" w:firstRowFirstColumn="0" w:firstRowLastColumn="0" w:lastRowFirstColumn="0" w:lastRowLastColumn="0"/>
              <w:rPr>
                <w:rFonts w:eastAsia="Calibri" w:cstheme="minorHAnsi"/>
              </w:rPr>
            </w:pPr>
            <w:r w:rsidRPr="00B11898">
              <w:rPr>
                <w:rFonts w:eastAsia="Calibri" w:cstheme="minorHAnsi"/>
              </w:rPr>
              <w:t>Additional staff and realignment of geographic areas among planning staff has provided a better balance of applications and enhanced time in which they are advanced.</w:t>
            </w:r>
          </w:p>
          <w:p w14:paraId="191D2A6E" w14:textId="77777777" w:rsidR="00E6522D" w:rsidRPr="00B11898" w:rsidRDefault="00E6522D" w:rsidP="00E6522D">
            <w:pPr>
              <w:pStyle w:val="ListParagraph"/>
              <w:numPr>
                <w:ilvl w:val="0"/>
                <w:numId w:val="28"/>
              </w:numPr>
              <w:ind w:left="162" w:hanging="162"/>
              <w:cnfStyle w:val="000000100000" w:firstRow="0" w:lastRow="0" w:firstColumn="0" w:lastColumn="0" w:oddVBand="0" w:evenVBand="0" w:oddHBand="1" w:evenHBand="0" w:firstRowFirstColumn="0" w:firstRowLastColumn="0" w:lastRowFirstColumn="0" w:lastRowLastColumn="0"/>
              <w:rPr>
                <w:rFonts w:eastAsia="Calibri" w:cstheme="minorHAnsi"/>
              </w:rPr>
            </w:pPr>
            <w:r>
              <w:rPr>
                <w:rFonts w:eastAsia="Calibri" w:cstheme="minorHAnsi"/>
              </w:rPr>
              <w:t xml:space="preserve">Office closures due to COVID-19 resulted in delays in sending Notices of Decision.  For safety reasons, staff restricted to specific times to copy/mail notices.  </w:t>
            </w:r>
          </w:p>
        </w:tc>
      </w:tr>
      <w:tr w:rsidR="00E6522D" w:rsidRPr="003018E8" w14:paraId="6429DD07" w14:textId="77777777" w:rsidTr="004D7C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Borders>
              <w:top w:val="single" w:sz="4" w:space="0" w:color="A5A5A5" w:themeColor="accent1" w:themeShade="BF"/>
              <w:left w:val="single" w:sz="4" w:space="0" w:color="A5A5A5" w:themeColor="accent1" w:themeShade="BF"/>
              <w:bottom w:val="single" w:sz="4" w:space="0" w:color="A5A5A5" w:themeColor="accent1" w:themeShade="BF"/>
              <w:right w:val="single" w:sz="4" w:space="0" w:color="A5A5A5" w:themeColor="accent1" w:themeShade="BF"/>
            </w:tcBorders>
            <w:shd w:val="clear" w:color="auto" w:fill="auto"/>
          </w:tcPr>
          <w:p w14:paraId="5FA806B6" w14:textId="77777777" w:rsidR="00E6522D" w:rsidRPr="004D7CB9" w:rsidRDefault="00E6522D" w:rsidP="00AB2342">
            <w:pPr>
              <w:rPr>
                <w:rFonts w:asciiTheme="minorHAnsi" w:eastAsia="Calibri" w:hAnsiTheme="minorHAnsi" w:cstheme="minorHAnsi"/>
                <w:sz w:val="22"/>
                <w:szCs w:val="20"/>
                <w:lang w:val="en-US"/>
              </w:rPr>
            </w:pPr>
            <w:bookmarkStart w:id="81" w:name="_Hlk9840146"/>
            <w:r w:rsidRPr="004D7CB9">
              <w:rPr>
                <w:rFonts w:asciiTheme="minorHAnsi" w:eastAsia="Calibri" w:hAnsiTheme="minorHAnsi" w:cstheme="minorHAnsi"/>
                <w:sz w:val="22"/>
                <w:szCs w:val="20"/>
                <w:lang w:val="en-US"/>
              </w:rPr>
              <w:t xml:space="preserve">Niagara Escarpment Plan Amendment Applications     </w:t>
            </w:r>
          </w:p>
        </w:tc>
        <w:tc>
          <w:tcPr>
            <w:tcW w:w="3992" w:type="dxa"/>
            <w:tcBorders>
              <w:top w:val="single" w:sz="4" w:space="0" w:color="A5A5A5" w:themeColor="accent1" w:themeShade="BF"/>
              <w:left w:val="single" w:sz="4" w:space="0" w:color="A5A5A5" w:themeColor="accent1" w:themeShade="BF"/>
              <w:bottom w:val="single" w:sz="4" w:space="0" w:color="A5A5A5" w:themeColor="accent1" w:themeShade="BF"/>
              <w:right w:val="single" w:sz="4" w:space="0" w:color="A5A5A5" w:themeColor="accent1" w:themeShade="BF"/>
            </w:tcBorders>
            <w:shd w:val="clear" w:color="auto" w:fill="auto"/>
          </w:tcPr>
          <w:p w14:paraId="326214D7" w14:textId="77777777" w:rsidR="00E6522D" w:rsidRDefault="00E6522D" w:rsidP="00AB2342">
            <w:pPr>
              <w:cnfStyle w:val="000000010000" w:firstRow="0" w:lastRow="0" w:firstColumn="0" w:lastColumn="0" w:oddVBand="0" w:evenVBand="0" w:oddHBand="0" w:evenHBand="1" w:firstRowFirstColumn="0" w:firstRowLastColumn="0" w:lastRowFirstColumn="0" w:lastRowLastColumn="0"/>
              <w:rPr>
                <w:rFonts w:eastAsia="Calibri" w:cstheme="minorHAnsi"/>
                <w:lang w:val="en-US"/>
              </w:rPr>
            </w:pPr>
            <w:r w:rsidRPr="00B11898">
              <w:rPr>
                <w:rFonts w:eastAsia="Calibri" w:cstheme="minorHAnsi"/>
                <w:lang w:val="en-US"/>
              </w:rPr>
              <w:t xml:space="preserve">NEC staff follow </w:t>
            </w:r>
            <w:r w:rsidRPr="00B11898">
              <w:rPr>
                <w:rFonts w:eastAsia="Calibri" w:cstheme="minorHAnsi"/>
                <w:i/>
                <w:iCs/>
                <w:lang w:val="en-US"/>
              </w:rPr>
              <w:t>NEPDA</w:t>
            </w:r>
            <w:r w:rsidRPr="00B11898">
              <w:rPr>
                <w:rFonts w:eastAsia="Calibri" w:cstheme="minorHAnsi"/>
                <w:lang w:val="en-US"/>
              </w:rPr>
              <w:t xml:space="preserve"> requirements for processing Plan Amendments.  Plan Amendments are posted on NEC website and on the Environmental Registry (ER) for public review.</w:t>
            </w:r>
          </w:p>
          <w:p w14:paraId="4C165F44" w14:textId="6AEA1CDC" w:rsidR="004D7CB9" w:rsidRPr="00B11898" w:rsidRDefault="004D7CB9" w:rsidP="00AB2342">
            <w:pPr>
              <w:cnfStyle w:val="000000010000" w:firstRow="0" w:lastRow="0" w:firstColumn="0" w:lastColumn="0" w:oddVBand="0" w:evenVBand="0" w:oddHBand="0" w:evenHBand="1" w:firstRowFirstColumn="0" w:firstRowLastColumn="0" w:lastRowFirstColumn="0" w:lastRowLastColumn="0"/>
              <w:rPr>
                <w:rFonts w:eastAsia="Calibri" w:cstheme="minorHAnsi"/>
                <w:lang w:val="en-US"/>
              </w:rPr>
            </w:pPr>
          </w:p>
        </w:tc>
        <w:tc>
          <w:tcPr>
            <w:tcW w:w="4050" w:type="dxa"/>
            <w:tcBorders>
              <w:top w:val="single" w:sz="4" w:space="0" w:color="A5A5A5" w:themeColor="accent1" w:themeShade="BF"/>
              <w:left w:val="single" w:sz="4" w:space="0" w:color="A5A5A5" w:themeColor="accent1" w:themeShade="BF"/>
              <w:bottom w:val="single" w:sz="4" w:space="0" w:color="A5A5A5" w:themeColor="accent1" w:themeShade="BF"/>
              <w:right w:val="single" w:sz="4" w:space="0" w:color="A5A5A5" w:themeColor="accent1" w:themeShade="BF"/>
            </w:tcBorders>
            <w:shd w:val="clear" w:color="auto" w:fill="auto"/>
          </w:tcPr>
          <w:p w14:paraId="115183CE" w14:textId="77777777" w:rsidR="00E6522D" w:rsidRPr="0004242C" w:rsidRDefault="00E6522D" w:rsidP="00E6522D">
            <w:pPr>
              <w:pStyle w:val="ListParagraph"/>
              <w:numPr>
                <w:ilvl w:val="0"/>
                <w:numId w:val="28"/>
              </w:numPr>
              <w:ind w:left="162" w:hanging="162"/>
              <w:cnfStyle w:val="000000010000" w:firstRow="0" w:lastRow="0" w:firstColumn="0" w:lastColumn="0" w:oddVBand="0" w:evenVBand="0" w:oddHBand="0" w:evenHBand="1" w:firstRowFirstColumn="0" w:firstRowLastColumn="0" w:lastRowFirstColumn="0" w:lastRowLastColumn="0"/>
              <w:rPr>
                <w:rFonts w:eastAsia="Calibri" w:cstheme="minorHAnsi"/>
              </w:rPr>
            </w:pPr>
            <w:r w:rsidRPr="0004242C">
              <w:rPr>
                <w:rFonts w:eastAsia="Calibri" w:cstheme="minorHAnsi"/>
              </w:rPr>
              <w:t>3 new Amendment applications received.</w:t>
            </w:r>
          </w:p>
          <w:p w14:paraId="7F3A2FFA" w14:textId="77777777" w:rsidR="00E6522D" w:rsidRPr="0004242C" w:rsidRDefault="00E6522D" w:rsidP="00E6522D">
            <w:pPr>
              <w:pStyle w:val="ListParagraph"/>
              <w:numPr>
                <w:ilvl w:val="0"/>
                <w:numId w:val="28"/>
              </w:numPr>
              <w:ind w:left="162" w:hanging="162"/>
              <w:cnfStyle w:val="000000010000" w:firstRow="0" w:lastRow="0" w:firstColumn="0" w:lastColumn="0" w:oddVBand="0" w:evenVBand="0" w:oddHBand="0" w:evenHBand="1" w:firstRowFirstColumn="0" w:firstRowLastColumn="0" w:lastRowFirstColumn="0" w:lastRowLastColumn="0"/>
              <w:rPr>
                <w:rFonts w:eastAsia="Calibri" w:cstheme="minorHAnsi"/>
              </w:rPr>
            </w:pPr>
            <w:r w:rsidRPr="0004242C">
              <w:rPr>
                <w:rFonts w:eastAsia="Calibri" w:cstheme="minorHAnsi"/>
              </w:rPr>
              <w:t>2 decisions by Minister.</w:t>
            </w:r>
          </w:p>
          <w:p w14:paraId="764F8839" w14:textId="77777777" w:rsidR="00E6522D" w:rsidRPr="00B11898" w:rsidRDefault="00E6522D" w:rsidP="00E6522D">
            <w:pPr>
              <w:pStyle w:val="ListParagraph"/>
              <w:numPr>
                <w:ilvl w:val="0"/>
                <w:numId w:val="28"/>
              </w:numPr>
              <w:ind w:left="162" w:hanging="162"/>
              <w:cnfStyle w:val="000000010000" w:firstRow="0" w:lastRow="0" w:firstColumn="0" w:lastColumn="0" w:oddVBand="0" w:evenVBand="0" w:oddHBand="0" w:evenHBand="1" w:firstRowFirstColumn="0" w:firstRowLastColumn="0" w:lastRowFirstColumn="0" w:lastRowLastColumn="0"/>
              <w:rPr>
                <w:rFonts w:eastAsia="Calibri" w:cstheme="minorHAnsi"/>
              </w:rPr>
            </w:pPr>
            <w:r w:rsidRPr="0004242C">
              <w:rPr>
                <w:rFonts w:eastAsia="Calibri" w:cstheme="minorHAnsi"/>
              </w:rPr>
              <w:t>All processing requirements met.</w:t>
            </w:r>
            <w:r w:rsidRPr="00464F79">
              <w:rPr>
                <w:rFonts w:eastAsia="Calibri" w:cstheme="minorHAnsi"/>
              </w:rPr>
              <w:t xml:space="preserve">  </w:t>
            </w:r>
          </w:p>
        </w:tc>
      </w:tr>
      <w:bookmarkEnd w:id="81"/>
      <w:tr w:rsidR="00E6522D" w:rsidRPr="003018E8" w14:paraId="2956D455" w14:textId="77777777" w:rsidTr="004D7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Borders>
              <w:top w:val="single" w:sz="4" w:space="0" w:color="A5A5A5" w:themeColor="accent1" w:themeShade="BF"/>
              <w:left w:val="single" w:sz="4" w:space="0" w:color="A5A5A5" w:themeColor="accent1" w:themeShade="BF"/>
              <w:bottom w:val="single" w:sz="4" w:space="0" w:color="A5A5A5" w:themeColor="accent1" w:themeShade="BF"/>
              <w:right w:val="single" w:sz="4" w:space="0" w:color="A5A5A5" w:themeColor="accent1" w:themeShade="BF"/>
            </w:tcBorders>
            <w:shd w:val="clear" w:color="auto" w:fill="auto"/>
          </w:tcPr>
          <w:p w14:paraId="7FD26DCC" w14:textId="77777777" w:rsidR="004D7CB9" w:rsidRDefault="004D7CB9" w:rsidP="00AB2342">
            <w:pPr>
              <w:rPr>
                <w:rFonts w:eastAsia="Calibri" w:cstheme="minorHAnsi"/>
                <w:b w:val="0"/>
                <w:bCs w:val="0"/>
                <w:sz w:val="22"/>
                <w:szCs w:val="20"/>
                <w:lang w:val="en-US"/>
              </w:rPr>
            </w:pPr>
          </w:p>
          <w:p w14:paraId="78FF0830" w14:textId="77777777" w:rsidR="004D7CB9" w:rsidRDefault="004D7CB9" w:rsidP="00AB2342">
            <w:pPr>
              <w:rPr>
                <w:rFonts w:eastAsia="Calibri" w:cstheme="minorHAnsi"/>
                <w:b w:val="0"/>
                <w:bCs w:val="0"/>
                <w:sz w:val="22"/>
                <w:szCs w:val="20"/>
                <w:lang w:val="en-US"/>
              </w:rPr>
            </w:pPr>
          </w:p>
          <w:p w14:paraId="35114C28" w14:textId="46CB1C07" w:rsidR="00E6522D" w:rsidRPr="004D7CB9" w:rsidRDefault="00E6522D" w:rsidP="00AB2342">
            <w:pPr>
              <w:rPr>
                <w:rFonts w:asciiTheme="minorHAnsi" w:eastAsia="Calibri" w:hAnsiTheme="minorHAnsi" w:cstheme="minorHAnsi"/>
                <w:sz w:val="22"/>
                <w:szCs w:val="20"/>
                <w:lang w:val="en-US"/>
              </w:rPr>
            </w:pPr>
            <w:r w:rsidRPr="004D7CB9">
              <w:rPr>
                <w:rFonts w:asciiTheme="minorHAnsi" w:eastAsia="Calibri" w:hAnsiTheme="minorHAnsi" w:cstheme="minorHAnsi"/>
                <w:sz w:val="22"/>
                <w:szCs w:val="20"/>
                <w:lang w:val="en-US"/>
              </w:rPr>
              <w:t>Review of municipal Official Plans,</w:t>
            </w:r>
          </w:p>
          <w:p w14:paraId="73A3629C" w14:textId="77777777" w:rsidR="00E6522D" w:rsidRPr="004D7CB9" w:rsidRDefault="00E6522D" w:rsidP="00AB2342">
            <w:pPr>
              <w:rPr>
                <w:rFonts w:asciiTheme="minorHAnsi" w:eastAsia="Calibri" w:hAnsiTheme="minorHAnsi" w:cstheme="minorHAnsi"/>
                <w:sz w:val="22"/>
                <w:szCs w:val="20"/>
                <w:lang w:val="en-US"/>
              </w:rPr>
            </w:pPr>
            <w:r w:rsidRPr="004D7CB9">
              <w:rPr>
                <w:rFonts w:asciiTheme="minorHAnsi" w:eastAsia="Calibri" w:hAnsiTheme="minorHAnsi" w:cstheme="minorHAnsi"/>
                <w:sz w:val="22"/>
                <w:szCs w:val="20"/>
                <w:lang w:val="en-US"/>
              </w:rPr>
              <w:t>consents,  zoning by-laws, etc.</w:t>
            </w:r>
          </w:p>
        </w:tc>
        <w:tc>
          <w:tcPr>
            <w:tcW w:w="3992" w:type="dxa"/>
            <w:tcBorders>
              <w:top w:val="single" w:sz="4" w:space="0" w:color="A5A5A5" w:themeColor="accent1" w:themeShade="BF"/>
              <w:left w:val="single" w:sz="4" w:space="0" w:color="A5A5A5" w:themeColor="accent1" w:themeShade="BF"/>
              <w:bottom w:val="single" w:sz="4" w:space="0" w:color="A5A5A5" w:themeColor="accent1" w:themeShade="BF"/>
              <w:right w:val="single" w:sz="4" w:space="0" w:color="A5A5A5" w:themeColor="accent1" w:themeShade="BF"/>
            </w:tcBorders>
            <w:shd w:val="clear" w:color="auto" w:fill="auto"/>
          </w:tcPr>
          <w:p w14:paraId="5E0AF0D5" w14:textId="77777777" w:rsidR="00E6522D" w:rsidRPr="00B11898" w:rsidRDefault="00E6522D" w:rsidP="00AB2342">
            <w:pPr>
              <w:cnfStyle w:val="000000100000" w:firstRow="0" w:lastRow="0" w:firstColumn="0" w:lastColumn="0" w:oddVBand="0" w:evenVBand="0" w:oddHBand="1" w:evenHBand="0" w:firstRowFirstColumn="0" w:firstRowLastColumn="0" w:lastRowFirstColumn="0" w:lastRowLastColumn="0"/>
              <w:rPr>
                <w:rFonts w:eastAsia="Calibri" w:cstheme="minorHAnsi"/>
                <w:lang w:val="en-US"/>
              </w:rPr>
            </w:pPr>
            <w:r w:rsidRPr="00B11898">
              <w:rPr>
                <w:rFonts w:eastAsia="Calibri" w:cstheme="minorHAnsi"/>
                <w:lang w:val="en-US"/>
              </w:rPr>
              <w:t>NEC reply within due date (usually 30 – 60 days depending on complexity)</w:t>
            </w:r>
            <w:r>
              <w:rPr>
                <w:rFonts w:eastAsia="Calibri" w:cstheme="minorHAnsi"/>
                <w:lang w:val="en-US"/>
              </w:rPr>
              <w:t>.</w:t>
            </w:r>
          </w:p>
        </w:tc>
        <w:tc>
          <w:tcPr>
            <w:tcW w:w="4050" w:type="dxa"/>
            <w:tcBorders>
              <w:top w:val="single" w:sz="4" w:space="0" w:color="A5A5A5" w:themeColor="accent1" w:themeShade="BF"/>
              <w:left w:val="single" w:sz="4" w:space="0" w:color="A5A5A5" w:themeColor="accent1" w:themeShade="BF"/>
              <w:bottom w:val="single" w:sz="4" w:space="0" w:color="A5A5A5" w:themeColor="accent1" w:themeShade="BF"/>
              <w:right w:val="single" w:sz="4" w:space="0" w:color="A5A5A5" w:themeColor="accent1" w:themeShade="BF"/>
            </w:tcBorders>
            <w:shd w:val="clear" w:color="auto" w:fill="auto"/>
          </w:tcPr>
          <w:p w14:paraId="64C60673" w14:textId="77777777" w:rsidR="00E6522D" w:rsidRPr="00B11898" w:rsidRDefault="00E6522D" w:rsidP="00E6522D">
            <w:pPr>
              <w:pStyle w:val="ListParagraph"/>
              <w:numPr>
                <w:ilvl w:val="0"/>
                <w:numId w:val="28"/>
              </w:numPr>
              <w:ind w:left="162" w:hanging="162"/>
              <w:cnfStyle w:val="000000100000" w:firstRow="0" w:lastRow="0" w:firstColumn="0" w:lastColumn="0" w:oddVBand="0" w:evenVBand="0" w:oddHBand="1" w:evenHBand="0" w:firstRowFirstColumn="0" w:firstRowLastColumn="0" w:lastRowFirstColumn="0" w:lastRowLastColumn="0"/>
              <w:rPr>
                <w:rFonts w:eastAsia="Calibri" w:cstheme="minorHAnsi"/>
              </w:rPr>
            </w:pPr>
            <w:r w:rsidRPr="00B11898">
              <w:rPr>
                <w:rFonts w:eastAsia="Calibri" w:cstheme="minorHAnsi"/>
              </w:rPr>
              <w:t>Review of municipal official plans, zoning by-laws and consents took place within the specified due dates.</w:t>
            </w:r>
          </w:p>
          <w:p w14:paraId="1BF25946" w14:textId="77777777" w:rsidR="00E6522D" w:rsidRPr="00B11898" w:rsidRDefault="00E6522D" w:rsidP="00E6522D">
            <w:pPr>
              <w:pStyle w:val="ListParagraph"/>
              <w:numPr>
                <w:ilvl w:val="0"/>
                <w:numId w:val="28"/>
              </w:numPr>
              <w:ind w:left="162" w:hanging="162"/>
              <w:cnfStyle w:val="000000100000" w:firstRow="0" w:lastRow="0" w:firstColumn="0" w:lastColumn="0" w:oddVBand="0" w:evenVBand="0" w:oddHBand="1" w:evenHBand="0" w:firstRowFirstColumn="0" w:firstRowLastColumn="0" w:lastRowFirstColumn="0" w:lastRowLastColumn="0"/>
              <w:rPr>
                <w:rFonts w:eastAsia="Calibri" w:cstheme="minorHAnsi"/>
              </w:rPr>
            </w:pPr>
            <w:r w:rsidRPr="00B11898">
              <w:rPr>
                <w:rFonts w:eastAsia="Calibri" w:cstheme="minorHAnsi"/>
              </w:rPr>
              <w:t xml:space="preserve">Commented on more than </w:t>
            </w:r>
            <w:r w:rsidRPr="004D7CB9">
              <w:rPr>
                <w:rFonts w:eastAsia="Calibri" w:cstheme="minorHAnsi"/>
              </w:rPr>
              <w:t>200</w:t>
            </w:r>
            <w:r w:rsidRPr="00B11898">
              <w:rPr>
                <w:rFonts w:eastAsia="Calibri" w:cstheme="minorHAnsi"/>
              </w:rPr>
              <w:t xml:space="preserve"> Planning Act instruments and other planning-related initiatives by due date.  </w:t>
            </w:r>
          </w:p>
          <w:p w14:paraId="3B5790B2" w14:textId="77777777" w:rsidR="00E6522D" w:rsidRPr="00B11898" w:rsidRDefault="00E6522D" w:rsidP="00AB2342">
            <w:pPr>
              <w:pStyle w:val="ListParagraph"/>
              <w:ind w:left="162"/>
              <w:cnfStyle w:val="000000100000" w:firstRow="0" w:lastRow="0" w:firstColumn="0" w:lastColumn="0" w:oddVBand="0" w:evenVBand="0" w:oddHBand="1" w:evenHBand="0" w:firstRowFirstColumn="0" w:firstRowLastColumn="0" w:lastRowFirstColumn="0" w:lastRowLastColumn="0"/>
              <w:rPr>
                <w:rFonts w:eastAsia="Calibri" w:cstheme="minorHAnsi"/>
              </w:rPr>
            </w:pPr>
          </w:p>
        </w:tc>
      </w:tr>
      <w:tr w:rsidR="00E6522D" w:rsidRPr="003018E8" w14:paraId="44D22A84" w14:textId="77777777" w:rsidTr="004D7CB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Borders>
              <w:top w:val="single" w:sz="4" w:space="0" w:color="A5A5A5" w:themeColor="accent1" w:themeShade="BF"/>
              <w:left w:val="single" w:sz="4" w:space="0" w:color="A5A5A5" w:themeColor="accent1" w:themeShade="BF"/>
              <w:bottom w:val="single" w:sz="4" w:space="0" w:color="A5A5A5" w:themeColor="accent1" w:themeShade="BF"/>
              <w:right w:val="single" w:sz="4" w:space="0" w:color="A5A5A5" w:themeColor="accent1" w:themeShade="BF"/>
            </w:tcBorders>
            <w:shd w:val="clear" w:color="auto" w:fill="auto"/>
          </w:tcPr>
          <w:p w14:paraId="4D339087" w14:textId="77777777" w:rsidR="004D7CB9" w:rsidRDefault="004D7CB9" w:rsidP="00AB2342">
            <w:pPr>
              <w:rPr>
                <w:rFonts w:eastAsia="Calibri" w:cstheme="minorHAnsi"/>
                <w:b w:val="0"/>
                <w:bCs w:val="0"/>
                <w:sz w:val="22"/>
                <w:szCs w:val="20"/>
                <w:lang w:val="en-US"/>
              </w:rPr>
            </w:pPr>
            <w:bookmarkStart w:id="82" w:name="_Hlk10714775"/>
          </w:p>
          <w:p w14:paraId="7F3EB507" w14:textId="77777777" w:rsidR="004D7CB9" w:rsidRDefault="004D7CB9" w:rsidP="00AB2342">
            <w:pPr>
              <w:rPr>
                <w:rFonts w:eastAsia="Calibri" w:cstheme="minorHAnsi"/>
                <w:b w:val="0"/>
                <w:bCs w:val="0"/>
                <w:sz w:val="22"/>
                <w:szCs w:val="20"/>
                <w:lang w:val="en-US"/>
              </w:rPr>
            </w:pPr>
          </w:p>
          <w:p w14:paraId="031C884A" w14:textId="4E3C6D6C" w:rsidR="00E6522D" w:rsidRPr="004D7CB9" w:rsidRDefault="00E6522D" w:rsidP="00AB2342">
            <w:pPr>
              <w:rPr>
                <w:rFonts w:asciiTheme="minorHAnsi" w:eastAsia="Calibri" w:hAnsiTheme="minorHAnsi" w:cstheme="minorHAnsi"/>
                <w:sz w:val="22"/>
                <w:szCs w:val="20"/>
                <w:lang w:val="en-US"/>
              </w:rPr>
            </w:pPr>
            <w:r w:rsidRPr="004D7CB9">
              <w:rPr>
                <w:rFonts w:asciiTheme="minorHAnsi" w:eastAsia="Calibri" w:hAnsiTheme="minorHAnsi" w:cstheme="minorHAnsi"/>
                <w:sz w:val="22"/>
                <w:szCs w:val="20"/>
                <w:lang w:val="en-US"/>
              </w:rPr>
              <w:t xml:space="preserve">Reports of potential compliance issues.  </w:t>
            </w:r>
          </w:p>
        </w:tc>
        <w:tc>
          <w:tcPr>
            <w:tcW w:w="3992" w:type="dxa"/>
            <w:tcBorders>
              <w:top w:val="single" w:sz="4" w:space="0" w:color="A5A5A5" w:themeColor="accent1" w:themeShade="BF"/>
              <w:left w:val="single" w:sz="4" w:space="0" w:color="A5A5A5" w:themeColor="accent1" w:themeShade="BF"/>
              <w:bottom w:val="single" w:sz="4" w:space="0" w:color="A5A5A5" w:themeColor="accent1" w:themeShade="BF"/>
              <w:right w:val="single" w:sz="4" w:space="0" w:color="A5A5A5" w:themeColor="accent1" w:themeShade="BF"/>
            </w:tcBorders>
            <w:shd w:val="clear" w:color="auto" w:fill="auto"/>
          </w:tcPr>
          <w:p w14:paraId="78A53654" w14:textId="77777777" w:rsidR="00E6522D" w:rsidRPr="00B11898" w:rsidRDefault="00E6522D" w:rsidP="00AB2342">
            <w:pPr>
              <w:cnfStyle w:val="000000010000" w:firstRow="0" w:lastRow="0" w:firstColumn="0" w:lastColumn="0" w:oddVBand="0" w:evenVBand="0" w:oddHBand="0" w:evenHBand="1" w:firstRowFirstColumn="0" w:firstRowLastColumn="0" w:lastRowFirstColumn="0" w:lastRowLastColumn="0"/>
              <w:rPr>
                <w:rFonts w:eastAsia="Calibri" w:cstheme="minorHAnsi"/>
                <w:lang w:val="en-US"/>
              </w:rPr>
            </w:pPr>
            <w:r w:rsidRPr="00B11898">
              <w:rPr>
                <w:rFonts w:eastAsia="Calibri" w:cstheme="minorHAnsi"/>
                <w:lang w:val="en-US"/>
              </w:rPr>
              <w:t>Response within 48 hours of notification (call back, site inspection, or occurrence report logged).</w:t>
            </w:r>
          </w:p>
        </w:tc>
        <w:tc>
          <w:tcPr>
            <w:tcW w:w="4050" w:type="dxa"/>
            <w:tcBorders>
              <w:top w:val="single" w:sz="4" w:space="0" w:color="A5A5A5" w:themeColor="accent1" w:themeShade="BF"/>
              <w:left w:val="single" w:sz="4" w:space="0" w:color="A5A5A5" w:themeColor="accent1" w:themeShade="BF"/>
              <w:bottom w:val="single" w:sz="4" w:space="0" w:color="A5A5A5" w:themeColor="accent1" w:themeShade="BF"/>
              <w:right w:val="single" w:sz="4" w:space="0" w:color="A5A5A5" w:themeColor="accent1" w:themeShade="BF"/>
            </w:tcBorders>
            <w:shd w:val="clear" w:color="auto" w:fill="auto"/>
          </w:tcPr>
          <w:p w14:paraId="75221E3D" w14:textId="77777777" w:rsidR="00E6522D" w:rsidRPr="00B11898" w:rsidRDefault="00E6522D" w:rsidP="00AB2342">
            <w:pPr>
              <w:cnfStyle w:val="000000010000" w:firstRow="0" w:lastRow="0" w:firstColumn="0" w:lastColumn="0" w:oddVBand="0" w:evenVBand="0" w:oddHBand="0" w:evenHBand="1" w:firstRowFirstColumn="0" w:firstRowLastColumn="0" w:lastRowFirstColumn="0" w:lastRowLastColumn="0"/>
              <w:rPr>
                <w:rFonts w:eastAsia="Calibri" w:cstheme="minorHAnsi"/>
                <w:lang w:val="en-US"/>
              </w:rPr>
            </w:pPr>
            <w:r>
              <w:rPr>
                <w:rFonts w:eastAsia="Calibri" w:cstheme="minorHAnsi"/>
                <w:lang w:val="en-US"/>
              </w:rPr>
              <w:t xml:space="preserve">Compliance Program significantly impacted by office closures and restrictions on staff conducting inspections.  Reports were prepared for all occurrences, and </w:t>
            </w:r>
            <w:proofErr w:type="gramStart"/>
            <w:r>
              <w:rPr>
                <w:rFonts w:eastAsia="Calibri" w:cstheme="minorHAnsi"/>
                <w:lang w:val="en-US"/>
              </w:rPr>
              <w:t>high risk</w:t>
            </w:r>
            <w:proofErr w:type="gramEnd"/>
            <w:r>
              <w:rPr>
                <w:rFonts w:eastAsia="Calibri" w:cstheme="minorHAnsi"/>
                <w:lang w:val="en-US"/>
              </w:rPr>
              <w:t xml:space="preserve"> situations followed up based on Informed Judgement Matrix.</w:t>
            </w:r>
          </w:p>
          <w:p w14:paraId="38EF0651" w14:textId="77777777" w:rsidR="00E6522D" w:rsidRPr="00B11898" w:rsidRDefault="00E6522D" w:rsidP="00AB2342">
            <w:pPr>
              <w:cnfStyle w:val="000000010000" w:firstRow="0" w:lastRow="0" w:firstColumn="0" w:lastColumn="0" w:oddVBand="0" w:evenVBand="0" w:oddHBand="0" w:evenHBand="1" w:firstRowFirstColumn="0" w:firstRowLastColumn="0" w:lastRowFirstColumn="0" w:lastRowLastColumn="0"/>
              <w:rPr>
                <w:rFonts w:eastAsia="Calibri" w:cstheme="minorHAnsi"/>
                <w:lang w:val="en-US"/>
              </w:rPr>
            </w:pPr>
          </w:p>
        </w:tc>
      </w:tr>
      <w:bookmarkEnd w:id="82"/>
      <w:tr w:rsidR="00E6522D" w:rsidRPr="003018E8" w14:paraId="43ED55E5" w14:textId="77777777" w:rsidTr="004D7C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08" w:type="dxa"/>
            <w:tcBorders>
              <w:top w:val="single" w:sz="4" w:space="0" w:color="A5A5A5" w:themeColor="accent1" w:themeShade="BF"/>
              <w:left w:val="single" w:sz="4" w:space="0" w:color="A5A5A5" w:themeColor="accent1" w:themeShade="BF"/>
              <w:bottom w:val="single" w:sz="4" w:space="0" w:color="A5A5A5" w:themeColor="accent1" w:themeShade="BF"/>
              <w:right w:val="single" w:sz="4" w:space="0" w:color="A5A5A5" w:themeColor="accent1" w:themeShade="BF"/>
            </w:tcBorders>
            <w:shd w:val="clear" w:color="auto" w:fill="auto"/>
          </w:tcPr>
          <w:p w14:paraId="0E231D7F" w14:textId="77777777" w:rsidR="004D7CB9" w:rsidRDefault="004D7CB9" w:rsidP="00AB2342">
            <w:pPr>
              <w:rPr>
                <w:rFonts w:eastAsia="Calibri" w:cstheme="minorHAnsi"/>
                <w:b w:val="0"/>
                <w:bCs w:val="0"/>
                <w:sz w:val="22"/>
                <w:szCs w:val="20"/>
                <w:lang w:val="en-US"/>
              </w:rPr>
            </w:pPr>
          </w:p>
          <w:p w14:paraId="53D8532C" w14:textId="77777777" w:rsidR="004D7CB9" w:rsidRDefault="004D7CB9" w:rsidP="00AB2342">
            <w:pPr>
              <w:rPr>
                <w:rFonts w:eastAsia="Calibri" w:cstheme="minorHAnsi"/>
                <w:b w:val="0"/>
                <w:bCs w:val="0"/>
                <w:sz w:val="22"/>
                <w:szCs w:val="20"/>
                <w:lang w:val="en-US"/>
              </w:rPr>
            </w:pPr>
          </w:p>
          <w:p w14:paraId="4DB5E2AB" w14:textId="742F40DD" w:rsidR="00E6522D" w:rsidRPr="004D7CB9" w:rsidRDefault="00E6522D" w:rsidP="00AB2342">
            <w:pPr>
              <w:rPr>
                <w:rFonts w:asciiTheme="minorHAnsi" w:eastAsia="Calibri" w:hAnsiTheme="minorHAnsi" w:cstheme="minorHAnsi"/>
                <w:sz w:val="22"/>
                <w:szCs w:val="20"/>
                <w:lang w:val="en-US"/>
              </w:rPr>
            </w:pPr>
            <w:r w:rsidRPr="004D7CB9">
              <w:rPr>
                <w:rFonts w:asciiTheme="minorHAnsi" w:eastAsia="Calibri" w:hAnsiTheme="minorHAnsi" w:cstheme="minorHAnsi"/>
                <w:sz w:val="22"/>
                <w:szCs w:val="20"/>
                <w:lang w:val="en-US"/>
              </w:rPr>
              <w:t>Public Access to Information</w:t>
            </w:r>
          </w:p>
        </w:tc>
        <w:tc>
          <w:tcPr>
            <w:tcW w:w="3992" w:type="dxa"/>
            <w:tcBorders>
              <w:top w:val="single" w:sz="4" w:space="0" w:color="A5A5A5" w:themeColor="accent1" w:themeShade="BF"/>
              <w:left w:val="single" w:sz="4" w:space="0" w:color="A5A5A5" w:themeColor="accent1" w:themeShade="BF"/>
              <w:bottom w:val="single" w:sz="4" w:space="0" w:color="A5A5A5" w:themeColor="accent1" w:themeShade="BF"/>
              <w:right w:val="single" w:sz="4" w:space="0" w:color="A5A5A5" w:themeColor="accent1" w:themeShade="BF"/>
            </w:tcBorders>
            <w:shd w:val="clear" w:color="auto" w:fill="auto"/>
          </w:tcPr>
          <w:p w14:paraId="0D55082D" w14:textId="6B840E89" w:rsidR="00E6522D" w:rsidRDefault="00E6522D" w:rsidP="00AB2342">
            <w:pPr>
              <w:cnfStyle w:val="000000100000" w:firstRow="0" w:lastRow="0" w:firstColumn="0" w:lastColumn="0" w:oddVBand="0" w:evenVBand="0" w:oddHBand="1" w:evenHBand="0" w:firstRowFirstColumn="0" w:firstRowLastColumn="0" w:lastRowFirstColumn="0" w:lastRowLastColumn="0"/>
              <w:rPr>
                <w:rFonts w:eastAsia="Calibri" w:cstheme="minorHAnsi"/>
                <w:lang w:val="en-US"/>
              </w:rPr>
            </w:pPr>
            <w:r w:rsidRPr="00B11898">
              <w:rPr>
                <w:rFonts w:eastAsia="Calibri" w:cstheme="minorHAnsi"/>
                <w:lang w:val="en-US"/>
              </w:rPr>
              <w:t xml:space="preserve">The NEC meets established timelines as set out by the </w:t>
            </w:r>
            <w:r w:rsidR="00673302">
              <w:rPr>
                <w:rFonts w:eastAsia="Calibri" w:cstheme="minorHAnsi"/>
                <w:lang w:val="en-US"/>
              </w:rPr>
              <w:t>NDMNRF</w:t>
            </w:r>
            <w:r w:rsidRPr="00B11898">
              <w:rPr>
                <w:rFonts w:eastAsia="Calibri" w:cstheme="minorHAnsi"/>
                <w:lang w:val="en-US"/>
              </w:rPr>
              <w:t xml:space="preserve">, Information, Privacy and Records Management Unit in order to meet Freedom of Information and Protection of Privacy Act (FIPPA) requirements.  </w:t>
            </w:r>
          </w:p>
          <w:p w14:paraId="55C5965B" w14:textId="77C64BC0" w:rsidR="004D7CB9" w:rsidRPr="00B11898" w:rsidRDefault="004D7CB9" w:rsidP="00AB2342">
            <w:pPr>
              <w:cnfStyle w:val="000000100000" w:firstRow="0" w:lastRow="0" w:firstColumn="0" w:lastColumn="0" w:oddVBand="0" w:evenVBand="0" w:oddHBand="1" w:evenHBand="0" w:firstRowFirstColumn="0" w:firstRowLastColumn="0" w:lastRowFirstColumn="0" w:lastRowLastColumn="0"/>
              <w:rPr>
                <w:rFonts w:eastAsia="Calibri" w:cstheme="minorHAnsi"/>
                <w:lang w:val="en-US"/>
              </w:rPr>
            </w:pPr>
          </w:p>
        </w:tc>
        <w:tc>
          <w:tcPr>
            <w:tcW w:w="4050" w:type="dxa"/>
            <w:tcBorders>
              <w:top w:val="single" w:sz="4" w:space="0" w:color="A5A5A5" w:themeColor="accent1" w:themeShade="BF"/>
              <w:left w:val="single" w:sz="4" w:space="0" w:color="A5A5A5" w:themeColor="accent1" w:themeShade="BF"/>
              <w:bottom w:val="single" w:sz="4" w:space="0" w:color="A5A5A5" w:themeColor="accent1" w:themeShade="BF"/>
              <w:right w:val="single" w:sz="4" w:space="0" w:color="A5A5A5" w:themeColor="accent1" w:themeShade="BF"/>
            </w:tcBorders>
            <w:shd w:val="clear" w:color="auto" w:fill="auto"/>
          </w:tcPr>
          <w:p w14:paraId="182611E7" w14:textId="77777777" w:rsidR="00E6522D" w:rsidRPr="00B11898" w:rsidRDefault="00E6522D" w:rsidP="00E6522D">
            <w:pPr>
              <w:pStyle w:val="ListParagraph"/>
              <w:numPr>
                <w:ilvl w:val="0"/>
                <w:numId w:val="28"/>
              </w:numPr>
              <w:ind w:left="162" w:hanging="162"/>
              <w:cnfStyle w:val="000000100000" w:firstRow="0" w:lastRow="0" w:firstColumn="0" w:lastColumn="0" w:oddVBand="0" w:evenVBand="0" w:oddHBand="1" w:evenHBand="0" w:firstRowFirstColumn="0" w:firstRowLastColumn="0" w:lastRowFirstColumn="0" w:lastRowLastColumn="0"/>
              <w:rPr>
                <w:rFonts w:eastAsia="Calibri"/>
              </w:rPr>
            </w:pPr>
            <w:r w:rsidRPr="1EBEAA1E">
              <w:rPr>
                <w:rFonts w:eastAsia="Calibri"/>
              </w:rPr>
              <w:t xml:space="preserve">There were </w:t>
            </w:r>
            <w:r>
              <w:rPr>
                <w:rFonts w:eastAsia="Calibri"/>
              </w:rPr>
              <w:t>four (4)</w:t>
            </w:r>
            <w:r w:rsidRPr="1EBEAA1E">
              <w:rPr>
                <w:rFonts w:eastAsia="Calibri"/>
              </w:rPr>
              <w:t xml:space="preserve"> FIPPA requests received and processed within the specified timelines.</w:t>
            </w:r>
          </w:p>
          <w:p w14:paraId="07899387" w14:textId="77777777" w:rsidR="00E6522D" w:rsidRPr="00B11898" w:rsidRDefault="00E6522D" w:rsidP="00AB2342">
            <w:pPr>
              <w:cnfStyle w:val="000000100000" w:firstRow="0" w:lastRow="0" w:firstColumn="0" w:lastColumn="0" w:oddVBand="0" w:evenVBand="0" w:oddHBand="1" w:evenHBand="0" w:firstRowFirstColumn="0" w:firstRowLastColumn="0" w:lastRowFirstColumn="0" w:lastRowLastColumn="0"/>
              <w:rPr>
                <w:rFonts w:eastAsia="Calibri" w:cstheme="minorHAnsi"/>
                <w:lang w:val="en-US"/>
              </w:rPr>
            </w:pPr>
          </w:p>
        </w:tc>
      </w:tr>
    </w:tbl>
    <w:p w14:paraId="126615FF" w14:textId="2A8FF2FF" w:rsidR="00A064B5" w:rsidRDefault="00A064B5" w:rsidP="00A064B5"/>
    <w:p w14:paraId="73C91DB1" w14:textId="77777777" w:rsidR="00402A51" w:rsidRDefault="00402A51">
      <w:pPr>
        <w:rPr>
          <w:sz w:val="64"/>
          <w:szCs w:val="64"/>
        </w:rPr>
      </w:pPr>
      <w:bookmarkStart w:id="83" w:name="_Toc44333633"/>
      <w:r>
        <w:br w:type="page"/>
      </w:r>
    </w:p>
    <w:p w14:paraId="4B1D8125" w14:textId="102EF065" w:rsidR="005E50C9" w:rsidRDefault="005E50C9" w:rsidP="00402A51">
      <w:pPr>
        <w:pStyle w:val="Heading2"/>
      </w:pPr>
      <w:bookmarkStart w:id="84" w:name="_Toc74895918"/>
      <w:r>
        <w:lastRenderedPageBreak/>
        <w:t>Financial Summary</w:t>
      </w:r>
      <w:bookmarkEnd w:id="83"/>
      <w:bookmarkEnd w:id="84"/>
    </w:p>
    <w:p w14:paraId="45F047AD" w14:textId="77777777" w:rsidR="005E50C9" w:rsidRPr="00A34876" w:rsidRDefault="005E50C9" w:rsidP="005E50C9">
      <w:pPr>
        <w:pStyle w:val="NoSpacing"/>
        <w:rPr>
          <w:szCs w:val="24"/>
          <w:lang w:val="en-US"/>
        </w:rPr>
      </w:pPr>
    </w:p>
    <w:p w14:paraId="2DFA8C85" w14:textId="23B3C3DB" w:rsidR="005E50C9" w:rsidRPr="0003039F" w:rsidRDefault="005E50C9" w:rsidP="0003039F">
      <w:pPr>
        <w:pStyle w:val="NoSpacing"/>
        <w:spacing w:line="276" w:lineRule="auto"/>
        <w:jc w:val="both"/>
        <w:rPr>
          <w:rFonts w:cstheme="minorHAnsi"/>
          <w:szCs w:val="24"/>
          <w:lang w:val="en-US"/>
        </w:rPr>
      </w:pPr>
      <w:r w:rsidRPr="0003039F">
        <w:rPr>
          <w:rFonts w:cstheme="minorHAnsi"/>
          <w:szCs w:val="24"/>
          <w:lang w:val="en-US"/>
        </w:rPr>
        <w:t>The following provides a summary of the 2020-2021 operating budget and expenses</w:t>
      </w:r>
      <w:r w:rsidR="00CA5C1D" w:rsidRPr="0003039F">
        <w:rPr>
          <w:rFonts w:cstheme="minorHAnsi"/>
          <w:szCs w:val="24"/>
          <w:lang w:val="en-US"/>
        </w:rPr>
        <w:t>:</w:t>
      </w:r>
    </w:p>
    <w:p w14:paraId="7FED8787" w14:textId="77777777" w:rsidR="005E50C9" w:rsidRPr="0003039F" w:rsidRDefault="005E50C9" w:rsidP="0003039F">
      <w:pPr>
        <w:pStyle w:val="NoSpacing"/>
        <w:spacing w:line="276" w:lineRule="auto"/>
        <w:jc w:val="both"/>
        <w:rPr>
          <w:rFonts w:cstheme="minorHAnsi"/>
          <w:szCs w:val="24"/>
          <w:lang w:val="en-US"/>
        </w:rPr>
      </w:pPr>
    </w:p>
    <w:tbl>
      <w:tblPr>
        <w:tblStyle w:val="TableGrid"/>
        <w:tblW w:w="9356" w:type="dxa"/>
        <w:tblCellSpacing w:w="20" w:type="dxa"/>
        <w:tblBorders>
          <w:top w:val="inset" w:sz="6" w:space="0" w:color="auto"/>
          <w:left w:val="none" w:sz="0" w:space="0" w:color="auto"/>
          <w:bottom w:val="inset" w:sz="6"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253"/>
        <w:gridCol w:w="2551"/>
        <w:gridCol w:w="2552"/>
      </w:tblGrid>
      <w:tr w:rsidR="005E50C9" w:rsidRPr="0003039F" w14:paraId="1BC6A8EF" w14:textId="77777777" w:rsidTr="00AB2342">
        <w:trPr>
          <w:trHeight w:val="1020"/>
          <w:tblCellSpacing w:w="20" w:type="dxa"/>
        </w:trPr>
        <w:tc>
          <w:tcPr>
            <w:tcW w:w="4193" w:type="dxa"/>
            <w:vAlign w:val="center"/>
          </w:tcPr>
          <w:p w14:paraId="5675559B" w14:textId="77777777" w:rsidR="005E50C9" w:rsidRPr="0003039F" w:rsidRDefault="005E50C9" w:rsidP="0003039F">
            <w:pPr>
              <w:spacing w:line="276" w:lineRule="auto"/>
              <w:jc w:val="both"/>
              <w:rPr>
                <w:rFonts w:cstheme="minorHAnsi"/>
                <w:szCs w:val="24"/>
              </w:rPr>
            </w:pPr>
            <w:r w:rsidRPr="0003039F">
              <w:rPr>
                <w:rFonts w:eastAsia="Calibri" w:cstheme="minorHAnsi"/>
                <w:b/>
                <w:bCs/>
                <w:szCs w:val="24"/>
              </w:rPr>
              <w:t>Account Categories</w:t>
            </w:r>
          </w:p>
        </w:tc>
        <w:tc>
          <w:tcPr>
            <w:tcW w:w="2511" w:type="dxa"/>
            <w:vAlign w:val="center"/>
          </w:tcPr>
          <w:p w14:paraId="6E61F60B" w14:textId="77777777" w:rsidR="005E50C9" w:rsidRPr="0003039F" w:rsidRDefault="005E50C9" w:rsidP="0003039F">
            <w:pPr>
              <w:spacing w:line="276" w:lineRule="auto"/>
              <w:jc w:val="both"/>
              <w:rPr>
                <w:rFonts w:eastAsia="Calibri" w:cstheme="minorHAnsi"/>
                <w:b/>
                <w:bCs/>
                <w:szCs w:val="24"/>
              </w:rPr>
            </w:pPr>
            <w:r w:rsidRPr="0003039F">
              <w:rPr>
                <w:rFonts w:eastAsia="Calibri" w:cstheme="minorHAnsi"/>
                <w:b/>
                <w:bCs/>
                <w:szCs w:val="24"/>
              </w:rPr>
              <w:t>2020-2021</w:t>
            </w:r>
          </w:p>
          <w:p w14:paraId="3F2902ED" w14:textId="77777777" w:rsidR="005E50C9" w:rsidRPr="0003039F" w:rsidRDefault="005E50C9" w:rsidP="0003039F">
            <w:pPr>
              <w:spacing w:line="276" w:lineRule="auto"/>
              <w:jc w:val="both"/>
              <w:rPr>
                <w:rFonts w:cstheme="minorHAnsi"/>
                <w:szCs w:val="24"/>
              </w:rPr>
            </w:pPr>
            <w:r w:rsidRPr="0003039F">
              <w:rPr>
                <w:rFonts w:eastAsia="Calibri" w:cstheme="minorHAnsi"/>
                <w:b/>
                <w:bCs/>
                <w:szCs w:val="24"/>
              </w:rPr>
              <w:t>Budget Allocation</w:t>
            </w:r>
          </w:p>
        </w:tc>
        <w:tc>
          <w:tcPr>
            <w:tcW w:w="2492" w:type="dxa"/>
            <w:vAlign w:val="center"/>
          </w:tcPr>
          <w:p w14:paraId="23620C8D" w14:textId="77777777" w:rsidR="005E50C9" w:rsidRPr="0003039F" w:rsidRDefault="005E50C9" w:rsidP="0003039F">
            <w:pPr>
              <w:spacing w:line="276" w:lineRule="auto"/>
              <w:jc w:val="both"/>
              <w:rPr>
                <w:rFonts w:cstheme="minorHAnsi"/>
                <w:szCs w:val="24"/>
              </w:rPr>
            </w:pPr>
            <w:r w:rsidRPr="0003039F">
              <w:rPr>
                <w:rFonts w:eastAsia="Calibri" w:cstheme="minorHAnsi"/>
                <w:b/>
                <w:bCs/>
                <w:szCs w:val="24"/>
              </w:rPr>
              <w:t>2020-2021</w:t>
            </w:r>
          </w:p>
          <w:p w14:paraId="03883785" w14:textId="77777777" w:rsidR="005E50C9" w:rsidRPr="0003039F" w:rsidRDefault="005E50C9" w:rsidP="0003039F">
            <w:pPr>
              <w:spacing w:line="276" w:lineRule="auto"/>
              <w:jc w:val="both"/>
              <w:rPr>
                <w:rFonts w:cstheme="minorHAnsi"/>
                <w:szCs w:val="24"/>
              </w:rPr>
            </w:pPr>
            <w:r w:rsidRPr="0003039F">
              <w:rPr>
                <w:rFonts w:eastAsia="Calibri" w:cstheme="minorHAnsi"/>
                <w:b/>
                <w:bCs/>
                <w:szCs w:val="24"/>
              </w:rPr>
              <w:t>Actual Expenditures</w:t>
            </w:r>
          </w:p>
        </w:tc>
      </w:tr>
      <w:tr w:rsidR="005E50C9" w:rsidRPr="0003039F" w14:paraId="6F384734" w14:textId="77777777" w:rsidTr="00AB2342">
        <w:trPr>
          <w:trHeight w:val="567"/>
          <w:tblCellSpacing w:w="20" w:type="dxa"/>
        </w:trPr>
        <w:tc>
          <w:tcPr>
            <w:tcW w:w="4193" w:type="dxa"/>
            <w:tcBorders>
              <w:top w:val="inset" w:sz="6" w:space="0" w:color="auto"/>
            </w:tcBorders>
            <w:shd w:val="clear" w:color="auto" w:fill="F8F8F8" w:themeFill="accent1" w:themeFillTint="33"/>
            <w:vAlign w:val="center"/>
          </w:tcPr>
          <w:p w14:paraId="2F4B9478" w14:textId="77777777" w:rsidR="005E50C9" w:rsidRPr="0003039F" w:rsidRDefault="005E50C9" w:rsidP="0003039F">
            <w:pPr>
              <w:spacing w:line="276" w:lineRule="auto"/>
              <w:jc w:val="both"/>
              <w:rPr>
                <w:rFonts w:cstheme="minorHAnsi"/>
                <w:szCs w:val="24"/>
              </w:rPr>
            </w:pPr>
            <w:r w:rsidRPr="0003039F">
              <w:rPr>
                <w:rFonts w:eastAsia="Calibri" w:cstheme="minorHAnsi"/>
                <w:szCs w:val="24"/>
              </w:rPr>
              <w:t>Salary and Wages</w:t>
            </w:r>
          </w:p>
        </w:tc>
        <w:tc>
          <w:tcPr>
            <w:tcW w:w="2511" w:type="dxa"/>
            <w:tcBorders>
              <w:top w:val="inset" w:sz="6" w:space="0" w:color="auto"/>
            </w:tcBorders>
            <w:shd w:val="clear" w:color="auto" w:fill="F8F8F8" w:themeFill="accent1" w:themeFillTint="33"/>
            <w:vAlign w:val="center"/>
          </w:tcPr>
          <w:p w14:paraId="018B898D" w14:textId="77777777" w:rsidR="005E50C9" w:rsidRPr="0003039F" w:rsidRDefault="005E50C9" w:rsidP="0003039F">
            <w:pPr>
              <w:spacing w:line="276" w:lineRule="auto"/>
              <w:jc w:val="both"/>
              <w:rPr>
                <w:rFonts w:cstheme="minorHAnsi"/>
                <w:szCs w:val="24"/>
              </w:rPr>
            </w:pPr>
            <w:r w:rsidRPr="0003039F">
              <w:rPr>
                <w:rFonts w:eastAsia="Calibri" w:cstheme="minorHAnsi"/>
                <w:szCs w:val="24"/>
              </w:rPr>
              <w:t>2,042,600</w:t>
            </w:r>
          </w:p>
        </w:tc>
        <w:tc>
          <w:tcPr>
            <w:tcW w:w="2492" w:type="dxa"/>
            <w:tcBorders>
              <w:top w:val="inset" w:sz="6" w:space="0" w:color="auto"/>
            </w:tcBorders>
            <w:shd w:val="clear" w:color="auto" w:fill="F8F8F8" w:themeFill="accent1" w:themeFillTint="33"/>
            <w:vAlign w:val="center"/>
          </w:tcPr>
          <w:p w14:paraId="6128A469" w14:textId="77777777" w:rsidR="005E50C9" w:rsidRPr="0003039F" w:rsidRDefault="005E50C9" w:rsidP="0003039F">
            <w:pPr>
              <w:spacing w:line="276" w:lineRule="auto"/>
              <w:jc w:val="both"/>
              <w:rPr>
                <w:rFonts w:cstheme="minorHAnsi"/>
                <w:szCs w:val="24"/>
              </w:rPr>
            </w:pPr>
            <w:r w:rsidRPr="0003039F">
              <w:rPr>
                <w:rFonts w:eastAsia="Calibri" w:cstheme="minorHAnsi"/>
                <w:szCs w:val="24"/>
              </w:rPr>
              <w:t>1,749,274</w:t>
            </w:r>
          </w:p>
        </w:tc>
      </w:tr>
      <w:tr w:rsidR="005E50C9" w:rsidRPr="0003039F" w14:paraId="637D6C41" w14:textId="77777777" w:rsidTr="00AB2342">
        <w:trPr>
          <w:trHeight w:val="567"/>
          <w:tblCellSpacing w:w="20" w:type="dxa"/>
        </w:trPr>
        <w:tc>
          <w:tcPr>
            <w:tcW w:w="4193" w:type="dxa"/>
            <w:tcBorders>
              <w:bottom w:val="inset" w:sz="6" w:space="0" w:color="auto"/>
            </w:tcBorders>
            <w:vAlign w:val="center"/>
          </w:tcPr>
          <w:p w14:paraId="5D10933F" w14:textId="77777777" w:rsidR="005E50C9" w:rsidRPr="0003039F" w:rsidRDefault="005E50C9" w:rsidP="0003039F">
            <w:pPr>
              <w:spacing w:line="276" w:lineRule="auto"/>
              <w:jc w:val="both"/>
              <w:rPr>
                <w:rFonts w:cstheme="minorHAnsi"/>
                <w:szCs w:val="24"/>
              </w:rPr>
            </w:pPr>
            <w:r w:rsidRPr="0003039F">
              <w:rPr>
                <w:rFonts w:eastAsia="Calibri" w:cstheme="minorHAnsi"/>
                <w:szCs w:val="24"/>
              </w:rPr>
              <w:t>Employee Benefits</w:t>
            </w:r>
          </w:p>
        </w:tc>
        <w:tc>
          <w:tcPr>
            <w:tcW w:w="2511" w:type="dxa"/>
            <w:tcBorders>
              <w:bottom w:val="inset" w:sz="6" w:space="0" w:color="auto"/>
            </w:tcBorders>
            <w:vAlign w:val="center"/>
          </w:tcPr>
          <w:p w14:paraId="5FEDAD61" w14:textId="77777777" w:rsidR="005E50C9" w:rsidRPr="0003039F" w:rsidRDefault="005E50C9" w:rsidP="0003039F">
            <w:pPr>
              <w:spacing w:line="276" w:lineRule="auto"/>
              <w:jc w:val="both"/>
              <w:rPr>
                <w:rFonts w:cstheme="minorHAnsi"/>
                <w:szCs w:val="24"/>
              </w:rPr>
            </w:pPr>
            <w:r w:rsidRPr="0003039F">
              <w:rPr>
                <w:rFonts w:eastAsia="Calibri" w:cstheme="minorHAnsi"/>
                <w:szCs w:val="24"/>
              </w:rPr>
              <w:t>325,200</w:t>
            </w:r>
          </w:p>
        </w:tc>
        <w:tc>
          <w:tcPr>
            <w:tcW w:w="2492" w:type="dxa"/>
            <w:tcBorders>
              <w:bottom w:val="inset" w:sz="6" w:space="0" w:color="auto"/>
            </w:tcBorders>
            <w:vAlign w:val="center"/>
          </w:tcPr>
          <w:p w14:paraId="3C2145BE" w14:textId="77777777" w:rsidR="005E50C9" w:rsidRPr="0003039F" w:rsidRDefault="005E50C9" w:rsidP="0003039F">
            <w:pPr>
              <w:spacing w:line="276" w:lineRule="auto"/>
              <w:jc w:val="both"/>
              <w:rPr>
                <w:rFonts w:cstheme="minorHAnsi"/>
                <w:szCs w:val="24"/>
              </w:rPr>
            </w:pPr>
            <w:r w:rsidRPr="0003039F">
              <w:rPr>
                <w:rFonts w:cstheme="minorHAnsi"/>
                <w:szCs w:val="24"/>
              </w:rPr>
              <w:t>361,893</w:t>
            </w:r>
          </w:p>
        </w:tc>
      </w:tr>
      <w:tr w:rsidR="005E50C9" w:rsidRPr="0003039F" w14:paraId="555EFA73" w14:textId="77777777" w:rsidTr="00AB2342">
        <w:trPr>
          <w:trHeight w:val="567"/>
          <w:tblCellSpacing w:w="20" w:type="dxa"/>
        </w:trPr>
        <w:tc>
          <w:tcPr>
            <w:tcW w:w="4193" w:type="dxa"/>
            <w:shd w:val="clear" w:color="auto" w:fill="F8F8F8" w:themeFill="accent1" w:themeFillTint="33"/>
            <w:vAlign w:val="center"/>
          </w:tcPr>
          <w:p w14:paraId="5DAED879" w14:textId="77777777" w:rsidR="005E50C9" w:rsidRPr="0003039F" w:rsidRDefault="005E50C9" w:rsidP="0003039F">
            <w:pPr>
              <w:spacing w:line="276" w:lineRule="auto"/>
              <w:jc w:val="both"/>
              <w:rPr>
                <w:rFonts w:cstheme="minorHAnsi"/>
                <w:szCs w:val="24"/>
              </w:rPr>
            </w:pPr>
            <w:r w:rsidRPr="0003039F">
              <w:rPr>
                <w:rFonts w:eastAsia="Calibri" w:cstheme="minorHAnsi"/>
                <w:b/>
                <w:bCs/>
                <w:szCs w:val="24"/>
              </w:rPr>
              <w:t>Total</w:t>
            </w:r>
          </w:p>
        </w:tc>
        <w:tc>
          <w:tcPr>
            <w:tcW w:w="2511" w:type="dxa"/>
            <w:shd w:val="clear" w:color="auto" w:fill="F8F8F8" w:themeFill="accent1" w:themeFillTint="33"/>
            <w:vAlign w:val="center"/>
          </w:tcPr>
          <w:p w14:paraId="17B37227" w14:textId="77777777" w:rsidR="005E50C9" w:rsidRPr="0003039F" w:rsidRDefault="005E50C9" w:rsidP="0003039F">
            <w:pPr>
              <w:spacing w:line="276" w:lineRule="auto"/>
              <w:jc w:val="both"/>
              <w:rPr>
                <w:rFonts w:cstheme="minorHAnsi"/>
                <w:szCs w:val="24"/>
              </w:rPr>
            </w:pPr>
            <w:r w:rsidRPr="0003039F">
              <w:rPr>
                <w:rFonts w:eastAsia="Calibri" w:cstheme="minorHAnsi"/>
                <w:b/>
                <w:bCs/>
                <w:szCs w:val="24"/>
              </w:rPr>
              <w:t>$2,367,800</w:t>
            </w:r>
          </w:p>
        </w:tc>
        <w:tc>
          <w:tcPr>
            <w:tcW w:w="2492" w:type="dxa"/>
            <w:shd w:val="clear" w:color="auto" w:fill="F8F8F8" w:themeFill="accent1" w:themeFillTint="33"/>
            <w:vAlign w:val="center"/>
          </w:tcPr>
          <w:p w14:paraId="5A2EEDA0" w14:textId="77777777" w:rsidR="005E50C9" w:rsidRPr="0003039F" w:rsidRDefault="005E50C9" w:rsidP="0003039F">
            <w:pPr>
              <w:spacing w:line="276" w:lineRule="auto"/>
              <w:jc w:val="both"/>
              <w:rPr>
                <w:rFonts w:cstheme="minorHAnsi"/>
                <w:szCs w:val="24"/>
              </w:rPr>
            </w:pPr>
            <w:r w:rsidRPr="0003039F">
              <w:rPr>
                <w:rFonts w:eastAsia="Calibri" w:cstheme="minorHAnsi"/>
                <w:b/>
                <w:szCs w:val="24"/>
              </w:rPr>
              <w:t>$2,111,167</w:t>
            </w:r>
          </w:p>
        </w:tc>
      </w:tr>
      <w:tr w:rsidR="005E50C9" w:rsidRPr="0003039F" w14:paraId="6FA293C4" w14:textId="77777777" w:rsidTr="00AB2342">
        <w:trPr>
          <w:trHeight w:val="567"/>
          <w:tblCellSpacing w:w="20" w:type="dxa"/>
        </w:trPr>
        <w:tc>
          <w:tcPr>
            <w:tcW w:w="4193" w:type="dxa"/>
            <w:vAlign w:val="center"/>
          </w:tcPr>
          <w:p w14:paraId="37BAFA20" w14:textId="77777777" w:rsidR="005E50C9" w:rsidRPr="0003039F" w:rsidRDefault="005E50C9" w:rsidP="0003039F">
            <w:pPr>
              <w:spacing w:line="276" w:lineRule="auto"/>
              <w:jc w:val="both"/>
              <w:rPr>
                <w:rFonts w:cstheme="minorHAnsi"/>
                <w:szCs w:val="24"/>
              </w:rPr>
            </w:pPr>
            <w:r w:rsidRPr="0003039F">
              <w:rPr>
                <w:rFonts w:eastAsia="Calibri" w:cstheme="minorHAnsi"/>
                <w:szCs w:val="24"/>
              </w:rPr>
              <w:t>Transportation and Communication</w:t>
            </w:r>
          </w:p>
        </w:tc>
        <w:tc>
          <w:tcPr>
            <w:tcW w:w="2511" w:type="dxa"/>
            <w:vAlign w:val="center"/>
          </w:tcPr>
          <w:p w14:paraId="1B1A6A21" w14:textId="77777777" w:rsidR="005E50C9" w:rsidRPr="0003039F" w:rsidRDefault="005E50C9" w:rsidP="0003039F">
            <w:pPr>
              <w:spacing w:line="276" w:lineRule="auto"/>
              <w:jc w:val="both"/>
              <w:rPr>
                <w:rFonts w:cstheme="minorHAnsi"/>
                <w:szCs w:val="24"/>
              </w:rPr>
            </w:pPr>
            <w:r w:rsidRPr="0003039F">
              <w:rPr>
                <w:rFonts w:eastAsia="Calibri" w:cstheme="minorHAnsi"/>
                <w:szCs w:val="24"/>
              </w:rPr>
              <w:t>43,000</w:t>
            </w:r>
          </w:p>
        </w:tc>
        <w:tc>
          <w:tcPr>
            <w:tcW w:w="2492" w:type="dxa"/>
            <w:vAlign w:val="center"/>
          </w:tcPr>
          <w:p w14:paraId="5F6638EC" w14:textId="77777777" w:rsidR="005E50C9" w:rsidRPr="0003039F" w:rsidRDefault="005E50C9" w:rsidP="0003039F">
            <w:pPr>
              <w:spacing w:line="276" w:lineRule="auto"/>
              <w:jc w:val="both"/>
              <w:rPr>
                <w:rFonts w:cstheme="minorHAnsi"/>
                <w:szCs w:val="24"/>
              </w:rPr>
            </w:pPr>
            <w:r w:rsidRPr="0003039F">
              <w:rPr>
                <w:rFonts w:eastAsia="Calibri" w:cstheme="minorHAnsi"/>
                <w:szCs w:val="24"/>
              </w:rPr>
              <w:t>29,507</w:t>
            </w:r>
          </w:p>
        </w:tc>
      </w:tr>
      <w:tr w:rsidR="005E50C9" w:rsidRPr="0003039F" w14:paraId="7F6B9B27" w14:textId="77777777" w:rsidTr="00AB2342">
        <w:trPr>
          <w:trHeight w:val="567"/>
          <w:tblCellSpacing w:w="20" w:type="dxa"/>
        </w:trPr>
        <w:tc>
          <w:tcPr>
            <w:tcW w:w="4193" w:type="dxa"/>
            <w:shd w:val="clear" w:color="auto" w:fill="F8F8F8" w:themeFill="accent1" w:themeFillTint="33"/>
            <w:vAlign w:val="center"/>
          </w:tcPr>
          <w:p w14:paraId="4B0BC4D5" w14:textId="77777777" w:rsidR="005E50C9" w:rsidRPr="0003039F" w:rsidRDefault="005E50C9" w:rsidP="0003039F">
            <w:pPr>
              <w:spacing w:line="276" w:lineRule="auto"/>
              <w:jc w:val="both"/>
              <w:rPr>
                <w:rFonts w:cstheme="minorHAnsi"/>
                <w:szCs w:val="24"/>
              </w:rPr>
            </w:pPr>
            <w:r w:rsidRPr="0003039F">
              <w:rPr>
                <w:rFonts w:eastAsia="Calibri" w:cstheme="minorHAnsi"/>
                <w:szCs w:val="24"/>
              </w:rPr>
              <w:t>Services</w:t>
            </w:r>
          </w:p>
        </w:tc>
        <w:tc>
          <w:tcPr>
            <w:tcW w:w="2511" w:type="dxa"/>
            <w:shd w:val="clear" w:color="auto" w:fill="F8F8F8" w:themeFill="accent1" w:themeFillTint="33"/>
            <w:vAlign w:val="center"/>
          </w:tcPr>
          <w:p w14:paraId="1D8AF852" w14:textId="77777777" w:rsidR="005E50C9" w:rsidRPr="0003039F" w:rsidRDefault="005E50C9" w:rsidP="0003039F">
            <w:pPr>
              <w:spacing w:line="276" w:lineRule="auto"/>
              <w:jc w:val="both"/>
              <w:rPr>
                <w:rFonts w:cstheme="minorHAnsi"/>
                <w:szCs w:val="24"/>
              </w:rPr>
            </w:pPr>
            <w:r w:rsidRPr="0003039F">
              <w:rPr>
                <w:rFonts w:eastAsia="Calibri" w:cstheme="minorHAnsi"/>
                <w:szCs w:val="24"/>
              </w:rPr>
              <w:t>205,200</w:t>
            </w:r>
          </w:p>
        </w:tc>
        <w:tc>
          <w:tcPr>
            <w:tcW w:w="2492" w:type="dxa"/>
            <w:shd w:val="clear" w:color="auto" w:fill="F8F8F8" w:themeFill="accent1" w:themeFillTint="33"/>
            <w:vAlign w:val="center"/>
          </w:tcPr>
          <w:p w14:paraId="77652C90" w14:textId="77777777" w:rsidR="005E50C9" w:rsidRPr="0003039F" w:rsidRDefault="005E50C9" w:rsidP="0003039F">
            <w:pPr>
              <w:spacing w:line="276" w:lineRule="auto"/>
              <w:jc w:val="both"/>
              <w:rPr>
                <w:rFonts w:cstheme="minorHAnsi"/>
                <w:szCs w:val="24"/>
              </w:rPr>
            </w:pPr>
            <w:r w:rsidRPr="0003039F">
              <w:rPr>
                <w:rFonts w:eastAsia="Calibri" w:cstheme="minorHAnsi"/>
                <w:szCs w:val="24"/>
              </w:rPr>
              <w:t>225,017</w:t>
            </w:r>
          </w:p>
        </w:tc>
      </w:tr>
      <w:tr w:rsidR="005E50C9" w:rsidRPr="0003039F" w14:paraId="3F9496F4" w14:textId="77777777" w:rsidTr="00AB2342">
        <w:trPr>
          <w:trHeight w:val="567"/>
          <w:tblCellSpacing w:w="20" w:type="dxa"/>
        </w:trPr>
        <w:tc>
          <w:tcPr>
            <w:tcW w:w="4193" w:type="dxa"/>
            <w:tcBorders>
              <w:bottom w:val="inset" w:sz="6" w:space="0" w:color="auto"/>
            </w:tcBorders>
            <w:vAlign w:val="center"/>
          </w:tcPr>
          <w:p w14:paraId="5E2C1756" w14:textId="77777777" w:rsidR="005E50C9" w:rsidRPr="0003039F" w:rsidRDefault="005E50C9" w:rsidP="0003039F">
            <w:pPr>
              <w:spacing w:line="276" w:lineRule="auto"/>
              <w:jc w:val="both"/>
              <w:rPr>
                <w:rFonts w:cstheme="minorHAnsi"/>
                <w:szCs w:val="24"/>
              </w:rPr>
            </w:pPr>
            <w:r w:rsidRPr="0003039F">
              <w:rPr>
                <w:rFonts w:eastAsia="Calibri" w:cstheme="minorHAnsi"/>
                <w:szCs w:val="24"/>
              </w:rPr>
              <w:t>Supplies and Equipment</w:t>
            </w:r>
          </w:p>
        </w:tc>
        <w:tc>
          <w:tcPr>
            <w:tcW w:w="2511" w:type="dxa"/>
            <w:tcBorders>
              <w:bottom w:val="inset" w:sz="6" w:space="0" w:color="auto"/>
            </w:tcBorders>
            <w:vAlign w:val="center"/>
          </w:tcPr>
          <w:p w14:paraId="5C8814EF" w14:textId="77777777" w:rsidR="005E50C9" w:rsidRPr="0003039F" w:rsidRDefault="005E50C9" w:rsidP="0003039F">
            <w:pPr>
              <w:spacing w:line="276" w:lineRule="auto"/>
              <w:jc w:val="both"/>
              <w:rPr>
                <w:rFonts w:cstheme="minorHAnsi"/>
                <w:szCs w:val="24"/>
              </w:rPr>
            </w:pPr>
            <w:r w:rsidRPr="0003039F">
              <w:rPr>
                <w:rFonts w:eastAsia="Calibri" w:cstheme="minorHAnsi"/>
                <w:szCs w:val="24"/>
              </w:rPr>
              <w:t>31,000</w:t>
            </w:r>
          </w:p>
        </w:tc>
        <w:tc>
          <w:tcPr>
            <w:tcW w:w="2492" w:type="dxa"/>
            <w:tcBorders>
              <w:bottom w:val="inset" w:sz="6" w:space="0" w:color="auto"/>
            </w:tcBorders>
            <w:vAlign w:val="center"/>
          </w:tcPr>
          <w:p w14:paraId="6B97F4BB" w14:textId="77777777" w:rsidR="005E50C9" w:rsidRPr="0003039F" w:rsidRDefault="005E50C9" w:rsidP="0003039F">
            <w:pPr>
              <w:spacing w:line="276" w:lineRule="auto"/>
              <w:jc w:val="both"/>
              <w:rPr>
                <w:rFonts w:cstheme="minorHAnsi"/>
                <w:szCs w:val="24"/>
              </w:rPr>
            </w:pPr>
            <w:r w:rsidRPr="0003039F">
              <w:rPr>
                <w:rFonts w:eastAsia="Calibri" w:cstheme="minorHAnsi"/>
                <w:szCs w:val="24"/>
              </w:rPr>
              <w:t>19,025</w:t>
            </w:r>
          </w:p>
        </w:tc>
      </w:tr>
      <w:tr w:rsidR="005E50C9" w:rsidRPr="0003039F" w14:paraId="597C3C03" w14:textId="77777777" w:rsidTr="00AB2342">
        <w:trPr>
          <w:trHeight w:val="567"/>
          <w:tblCellSpacing w:w="20" w:type="dxa"/>
        </w:trPr>
        <w:tc>
          <w:tcPr>
            <w:tcW w:w="4193" w:type="dxa"/>
            <w:shd w:val="clear" w:color="auto" w:fill="F8F8F8" w:themeFill="accent1" w:themeFillTint="33"/>
            <w:vAlign w:val="center"/>
          </w:tcPr>
          <w:p w14:paraId="426FF392" w14:textId="77777777" w:rsidR="005E50C9" w:rsidRPr="0003039F" w:rsidRDefault="005E50C9" w:rsidP="0003039F">
            <w:pPr>
              <w:spacing w:line="276" w:lineRule="auto"/>
              <w:jc w:val="both"/>
              <w:rPr>
                <w:rFonts w:cstheme="minorHAnsi"/>
                <w:szCs w:val="24"/>
              </w:rPr>
            </w:pPr>
            <w:r w:rsidRPr="0003039F">
              <w:rPr>
                <w:rFonts w:eastAsia="Calibri" w:cstheme="minorHAnsi"/>
                <w:b/>
                <w:bCs/>
                <w:szCs w:val="24"/>
              </w:rPr>
              <w:t>Total</w:t>
            </w:r>
          </w:p>
        </w:tc>
        <w:tc>
          <w:tcPr>
            <w:tcW w:w="2511" w:type="dxa"/>
            <w:shd w:val="clear" w:color="auto" w:fill="F8F8F8" w:themeFill="accent1" w:themeFillTint="33"/>
            <w:vAlign w:val="center"/>
          </w:tcPr>
          <w:p w14:paraId="5BDFF537" w14:textId="77777777" w:rsidR="005E50C9" w:rsidRPr="0003039F" w:rsidRDefault="005E50C9" w:rsidP="0003039F">
            <w:pPr>
              <w:spacing w:line="276" w:lineRule="auto"/>
              <w:jc w:val="both"/>
              <w:rPr>
                <w:rFonts w:cstheme="minorHAnsi"/>
                <w:szCs w:val="24"/>
              </w:rPr>
            </w:pPr>
            <w:r w:rsidRPr="0003039F">
              <w:rPr>
                <w:rFonts w:eastAsia="Calibri" w:cstheme="minorHAnsi"/>
                <w:b/>
                <w:bCs/>
                <w:szCs w:val="24"/>
              </w:rPr>
              <w:t>$279,200</w:t>
            </w:r>
          </w:p>
        </w:tc>
        <w:tc>
          <w:tcPr>
            <w:tcW w:w="2492" w:type="dxa"/>
            <w:shd w:val="clear" w:color="auto" w:fill="F8F8F8" w:themeFill="accent1" w:themeFillTint="33"/>
            <w:vAlign w:val="center"/>
          </w:tcPr>
          <w:p w14:paraId="39CF1C44" w14:textId="77777777" w:rsidR="005E50C9" w:rsidRPr="0003039F" w:rsidRDefault="005E50C9" w:rsidP="0003039F">
            <w:pPr>
              <w:spacing w:line="276" w:lineRule="auto"/>
              <w:jc w:val="both"/>
              <w:rPr>
                <w:rFonts w:cstheme="minorHAnsi"/>
                <w:szCs w:val="24"/>
              </w:rPr>
            </w:pPr>
            <w:r w:rsidRPr="0003039F">
              <w:rPr>
                <w:rFonts w:eastAsia="Calibri" w:cstheme="minorHAnsi"/>
                <w:b/>
                <w:bCs/>
                <w:szCs w:val="24"/>
              </w:rPr>
              <w:t>$273,549</w:t>
            </w:r>
          </w:p>
        </w:tc>
      </w:tr>
      <w:tr w:rsidR="005E50C9" w:rsidRPr="0003039F" w14:paraId="2B6C2D1E" w14:textId="77777777" w:rsidTr="00AB2342">
        <w:trPr>
          <w:trHeight w:val="567"/>
          <w:tblCellSpacing w:w="20" w:type="dxa"/>
        </w:trPr>
        <w:tc>
          <w:tcPr>
            <w:tcW w:w="4193" w:type="dxa"/>
            <w:shd w:val="clear" w:color="auto" w:fill="auto"/>
            <w:vAlign w:val="center"/>
          </w:tcPr>
          <w:p w14:paraId="0E171ABB" w14:textId="77777777" w:rsidR="005E50C9" w:rsidRPr="0003039F" w:rsidRDefault="005E50C9" w:rsidP="0003039F">
            <w:pPr>
              <w:spacing w:line="276" w:lineRule="auto"/>
              <w:jc w:val="both"/>
              <w:rPr>
                <w:rFonts w:eastAsia="Calibri" w:cstheme="minorHAnsi"/>
                <w:bCs/>
                <w:szCs w:val="24"/>
              </w:rPr>
            </w:pPr>
            <w:r w:rsidRPr="0003039F">
              <w:rPr>
                <w:rFonts w:eastAsia="Calibri" w:cstheme="minorHAnsi"/>
                <w:bCs/>
                <w:szCs w:val="24"/>
              </w:rPr>
              <w:t>Treasury Board Order</w:t>
            </w:r>
          </w:p>
        </w:tc>
        <w:tc>
          <w:tcPr>
            <w:tcW w:w="2511" w:type="dxa"/>
            <w:shd w:val="clear" w:color="auto" w:fill="auto"/>
            <w:vAlign w:val="center"/>
          </w:tcPr>
          <w:p w14:paraId="27693108" w14:textId="77777777" w:rsidR="005E50C9" w:rsidRPr="0003039F" w:rsidRDefault="005E50C9" w:rsidP="0003039F">
            <w:pPr>
              <w:spacing w:line="276" w:lineRule="auto"/>
              <w:jc w:val="both"/>
              <w:rPr>
                <w:rFonts w:eastAsia="Calibri" w:cstheme="minorHAnsi"/>
                <w:b/>
                <w:bCs/>
                <w:szCs w:val="24"/>
              </w:rPr>
            </w:pPr>
          </w:p>
        </w:tc>
        <w:tc>
          <w:tcPr>
            <w:tcW w:w="2492" w:type="dxa"/>
            <w:shd w:val="clear" w:color="auto" w:fill="auto"/>
            <w:vAlign w:val="center"/>
          </w:tcPr>
          <w:p w14:paraId="098AC31F" w14:textId="77777777" w:rsidR="005E50C9" w:rsidRPr="0003039F" w:rsidRDefault="005E50C9" w:rsidP="0003039F">
            <w:pPr>
              <w:spacing w:line="276" w:lineRule="auto"/>
              <w:jc w:val="both"/>
              <w:rPr>
                <w:rFonts w:eastAsia="Calibri" w:cstheme="minorHAnsi"/>
                <w:i/>
                <w:szCs w:val="24"/>
              </w:rPr>
            </w:pPr>
            <w:r w:rsidRPr="0003039F">
              <w:rPr>
                <w:rFonts w:eastAsia="Calibri" w:cstheme="minorHAnsi"/>
                <w:i/>
                <w:iCs/>
                <w:szCs w:val="24"/>
              </w:rPr>
              <w:t>$196,300</w:t>
            </w:r>
          </w:p>
        </w:tc>
      </w:tr>
      <w:tr w:rsidR="005E50C9" w:rsidRPr="0003039F" w14:paraId="4104A0D3" w14:textId="77777777" w:rsidTr="00AB2342">
        <w:trPr>
          <w:trHeight w:val="850"/>
          <w:tblCellSpacing w:w="20" w:type="dxa"/>
        </w:trPr>
        <w:tc>
          <w:tcPr>
            <w:tcW w:w="4193" w:type="dxa"/>
            <w:tcBorders>
              <w:top w:val="inset" w:sz="6" w:space="0" w:color="auto"/>
            </w:tcBorders>
            <w:shd w:val="clear" w:color="auto" w:fill="F8F8F8" w:themeFill="accent1" w:themeFillTint="33"/>
            <w:vAlign w:val="center"/>
          </w:tcPr>
          <w:p w14:paraId="700B9BDB" w14:textId="77777777" w:rsidR="005E50C9" w:rsidRPr="0003039F" w:rsidRDefault="005E50C9" w:rsidP="0003039F">
            <w:pPr>
              <w:spacing w:line="276" w:lineRule="auto"/>
              <w:jc w:val="both"/>
              <w:rPr>
                <w:rFonts w:cstheme="minorHAnsi"/>
                <w:szCs w:val="24"/>
              </w:rPr>
            </w:pPr>
            <w:r w:rsidRPr="0003039F">
              <w:rPr>
                <w:rFonts w:eastAsia="Calibri" w:cstheme="minorHAnsi"/>
                <w:b/>
                <w:bCs/>
                <w:szCs w:val="24"/>
              </w:rPr>
              <w:t>Grand Total</w:t>
            </w:r>
          </w:p>
        </w:tc>
        <w:tc>
          <w:tcPr>
            <w:tcW w:w="2511" w:type="dxa"/>
            <w:tcBorders>
              <w:top w:val="inset" w:sz="6" w:space="0" w:color="auto"/>
            </w:tcBorders>
            <w:shd w:val="clear" w:color="auto" w:fill="F8F8F8" w:themeFill="accent1" w:themeFillTint="33"/>
            <w:vAlign w:val="center"/>
          </w:tcPr>
          <w:p w14:paraId="08671719" w14:textId="77777777" w:rsidR="005E50C9" w:rsidRPr="0003039F" w:rsidRDefault="005E50C9" w:rsidP="0003039F">
            <w:pPr>
              <w:spacing w:line="276" w:lineRule="auto"/>
              <w:jc w:val="both"/>
              <w:rPr>
                <w:rFonts w:cstheme="minorHAnsi"/>
                <w:szCs w:val="24"/>
              </w:rPr>
            </w:pPr>
            <w:r w:rsidRPr="0003039F">
              <w:rPr>
                <w:rFonts w:eastAsia="Calibri" w:cstheme="minorHAnsi"/>
                <w:b/>
                <w:szCs w:val="24"/>
              </w:rPr>
              <w:t>$2,</w:t>
            </w:r>
            <w:r w:rsidRPr="0003039F">
              <w:rPr>
                <w:rFonts w:eastAsia="Calibri" w:cstheme="minorHAnsi"/>
                <w:b/>
                <w:bCs/>
                <w:szCs w:val="24"/>
              </w:rPr>
              <w:t>647,000</w:t>
            </w:r>
          </w:p>
        </w:tc>
        <w:tc>
          <w:tcPr>
            <w:tcW w:w="2492" w:type="dxa"/>
            <w:tcBorders>
              <w:top w:val="inset" w:sz="6" w:space="0" w:color="auto"/>
            </w:tcBorders>
            <w:shd w:val="clear" w:color="auto" w:fill="F8F8F8" w:themeFill="accent1" w:themeFillTint="33"/>
            <w:vAlign w:val="center"/>
          </w:tcPr>
          <w:p w14:paraId="75EDDB57" w14:textId="77777777" w:rsidR="005E50C9" w:rsidRPr="0003039F" w:rsidRDefault="005E50C9" w:rsidP="0003039F">
            <w:pPr>
              <w:spacing w:line="276" w:lineRule="auto"/>
              <w:jc w:val="both"/>
              <w:rPr>
                <w:rFonts w:cstheme="minorHAnsi"/>
                <w:szCs w:val="24"/>
              </w:rPr>
            </w:pPr>
            <w:r w:rsidRPr="0003039F">
              <w:rPr>
                <w:rFonts w:eastAsia="Calibri" w:cstheme="minorHAnsi"/>
                <w:b/>
                <w:szCs w:val="24"/>
              </w:rPr>
              <w:t>$2,581,016</w:t>
            </w:r>
          </w:p>
        </w:tc>
      </w:tr>
    </w:tbl>
    <w:p w14:paraId="699AA12E" w14:textId="77777777" w:rsidR="005E50C9" w:rsidRPr="0003039F" w:rsidRDefault="005E50C9" w:rsidP="0003039F">
      <w:pPr>
        <w:pStyle w:val="NoSpacing"/>
        <w:spacing w:line="276" w:lineRule="auto"/>
        <w:jc w:val="both"/>
        <w:rPr>
          <w:rFonts w:cstheme="minorHAnsi"/>
          <w:szCs w:val="24"/>
          <w:lang w:val="en-US"/>
        </w:rPr>
      </w:pPr>
    </w:p>
    <w:p w14:paraId="6C265C71" w14:textId="77777777" w:rsidR="005E50C9" w:rsidRPr="0003039F" w:rsidRDefault="005E50C9" w:rsidP="0003039F">
      <w:pPr>
        <w:pStyle w:val="NoSpacing"/>
        <w:spacing w:line="276" w:lineRule="auto"/>
        <w:jc w:val="both"/>
        <w:rPr>
          <w:rFonts w:cstheme="minorHAnsi"/>
          <w:szCs w:val="24"/>
          <w:lang w:val="en-US"/>
        </w:rPr>
      </w:pPr>
      <w:r w:rsidRPr="0003039F">
        <w:rPr>
          <w:rFonts w:cstheme="minorHAnsi"/>
          <w:szCs w:val="24"/>
          <w:lang w:val="en-US"/>
        </w:rPr>
        <w:t>The NEC’s maximum staffing complement is 24 Full-Time Equivalent (FTE) positions. As of March 31, 2021, the NEC had 24 FTE employees, 19 within its main Georgetown office and 5 in its northern satellite office in Owen Sound. In addition, the Georgetown office had three seasonal Planning positions and a seasonal compliance position (which are not considered FTE positions).</w:t>
      </w:r>
    </w:p>
    <w:p w14:paraId="16B54920" w14:textId="77777777" w:rsidR="005E50C9" w:rsidRPr="0003039F" w:rsidRDefault="005E50C9" w:rsidP="0003039F">
      <w:pPr>
        <w:pStyle w:val="NoSpacing"/>
        <w:spacing w:line="276" w:lineRule="auto"/>
        <w:jc w:val="both"/>
        <w:rPr>
          <w:rFonts w:cstheme="minorHAnsi"/>
          <w:szCs w:val="24"/>
          <w:highlight w:val="magenta"/>
          <w:lang w:val="en-US"/>
        </w:rPr>
      </w:pPr>
    </w:p>
    <w:p w14:paraId="43C2FDA8" w14:textId="04F9E5A9" w:rsidR="005E50C9" w:rsidRPr="0003039F" w:rsidRDefault="005E50C9" w:rsidP="0003039F">
      <w:pPr>
        <w:pStyle w:val="NoSpacing"/>
        <w:spacing w:line="276" w:lineRule="auto"/>
        <w:jc w:val="both"/>
        <w:rPr>
          <w:rFonts w:cstheme="minorHAnsi"/>
          <w:szCs w:val="24"/>
          <w:lang w:val="en-US"/>
        </w:rPr>
      </w:pPr>
      <w:r w:rsidRPr="0003039F">
        <w:rPr>
          <w:rFonts w:cstheme="minorHAnsi"/>
          <w:szCs w:val="24"/>
          <w:lang w:val="en-US"/>
        </w:rPr>
        <w:t xml:space="preserve">The NEC’s non-salary or operating allocation is composed of several categories of funds.  These categories include </w:t>
      </w:r>
      <w:r w:rsidR="0070532F" w:rsidRPr="0003039F">
        <w:rPr>
          <w:rFonts w:cstheme="minorHAnsi"/>
          <w:szCs w:val="24"/>
          <w:lang w:val="en-US"/>
        </w:rPr>
        <w:t>t</w:t>
      </w:r>
      <w:r w:rsidRPr="0003039F">
        <w:rPr>
          <w:rFonts w:cstheme="minorHAnsi"/>
          <w:szCs w:val="24"/>
          <w:lang w:val="en-US"/>
        </w:rPr>
        <w:t xml:space="preserve">ransportation and </w:t>
      </w:r>
      <w:r w:rsidR="0070532F" w:rsidRPr="0003039F">
        <w:rPr>
          <w:rFonts w:cstheme="minorHAnsi"/>
          <w:szCs w:val="24"/>
          <w:lang w:val="en-US"/>
        </w:rPr>
        <w:t>c</w:t>
      </w:r>
      <w:r w:rsidRPr="0003039F">
        <w:rPr>
          <w:rFonts w:cstheme="minorHAnsi"/>
          <w:szCs w:val="24"/>
          <w:lang w:val="en-US"/>
        </w:rPr>
        <w:t xml:space="preserve">ommunication (e.g., telephones, cell phones, mail and staff and Commissioner travel expenses), </w:t>
      </w:r>
      <w:r w:rsidR="0070532F" w:rsidRPr="0003039F">
        <w:rPr>
          <w:rFonts w:cstheme="minorHAnsi"/>
          <w:szCs w:val="24"/>
          <w:lang w:val="en-US"/>
        </w:rPr>
        <w:t>s</w:t>
      </w:r>
      <w:r w:rsidRPr="0003039F">
        <w:rPr>
          <w:rFonts w:cstheme="minorHAnsi"/>
          <w:szCs w:val="24"/>
          <w:lang w:val="en-US"/>
        </w:rPr>
        <w:t xml:space="preserve">ervices (e.g., computer leases, </w:t>
      </w:r>
      <w:r w:rsidR="00523841" w:rsidRPr="0003039F">
        <w:rPr>
          <w:rFonts w:cstheme="minorHAnsi"/>
          <w:szCs w:val="24"/>
          <w:lang w:val="en-US"/>
        </w:rPr>
        <w:t xml:space="preserve">commissioner </w:t>
      </w:r>
      <w:r w:rsidRPr="0003039F">
        <w:rPr>
          <w:rFonts w:cstheme="minorHAnsi"/>
          <w:szCs w:val="24"/>
          <w:lang w:val="en-US"/>
        </w:rPr>
        <w:t xml:space="preserve">per diems, leased office equipment, staff development and education, vehicles, </w:t>
      </w:r>
      <w:r w:rsidR="00523841" w:rsidRPr="0003039F">
        <w:rPr>
          <w:rFonts w:cstheme="minorHAnsi"/>
          <w:szCs w:val="24"/>
          <w:lang w:val="en-US"/>
        </w:rPr>
        <w:t>c</w:t>
      </w:r>
      <w:r w:rsidRPr="0003039F">
        <w:rPr>
          <w:rFonts w:cstheme="minorHAnsi"/>
          <w:szCs w:val="24"/>
          <w:lang w:val="en-US"/>
        </w:rPr>
        <w:t xml:space="preserve">ommission meetings, litigation costs) and </w:t>
      </w:r>
      <w:r w:rsidR="00C9159C" w:rsidRPr="0003039F">
        <w:rPr>
          <w:rFonts w:cstheme="minorHAnsi"/>
          <w:szCs w:val="24"/>
          <w:lang w:val="en-US"/>
        </w:rPr>
        <w:t>s</w:t>
      </w:r>
      <w:r w:rsidRPr="0003039F">
        <w:rPr>
          <w:rFonts w:cstheme="minorHAnsi"/>
          <w:szCs w:val="24"/>
          <w:lang w:val="en-US"/>
        </w:rPr>
        <w:t xml:space="preserve">upplies and </w:t>
      </w:r>
      <w:r w:rsidR="00C9159C" w:rsidRPr="0003039F">
        <w:rPr>
          <w:rFonts w:cstheme="minorHAnsi"/>
          <w:szCs w:val="24"/>
          <w:lang w:val="en-US"/>
        </w:rPr>
        <w:t>e</w:t>
      </w:r>
      <w:r w:rsidRPr="0003039F">
        <w:rPr>
          <w:rFonts w:cstheme="minorHAnsi"/>
          <w:szCs w:val="24"/>
          <w:lang w:val="en-US"/>
        </w:rPr>
        <w:t xml:space="preserve">quipment (e.g. office supplies).  </w:t>
      </w:r>
    </w:p>
    <w:p w14:paraId="2A89F63E" w14:textId="77777777" w:rsidR="005E50C9" w:rsidRPr="0003039F" w:rsidRDefault="005E50C9" w:rsidP="0003039F">
      <w:pPr>
        <w:pStyle w:val="NoSpacing"/>
        <w:spacing w:line="276" w:lineRule="auto"/>
        <w:jc w:val="both"/>
        <w:rPr>
          <w:rFonts w:cstheme="minorHAnsi"/>
          <w:szCs w:val="24"/>
          <w:highlight w:val="magenta"/>
          <w:lang w:val="en-US"/>
        </w:rPr>
      </w:pPr>
    </w:p>
    <w:p w14:paraId="09B864B2" w14:textId="77777777" w:rsidR="005E50C9" w:rsidRPr="0003039F" w:rsidRDefault="005E50C9" w:rsidP="0003039F">
      <w:pPr>
        <w:pStyle w:val="NoSpacing"/>
        <w:spacing w:line="276" w:lineRule="auto"/>
        <w:jc w:val="both"/>
        <w:rPr>
          <w:rFonts w:cstheme="minorHAnsi"/>
          <w:szCs w:val="24"/>
          <w:lang w:val="en-US"/>
        </w:rPr>
      </w:pPr>
      <w:r w:rsidRPr="0003039F">
        <w:rPr>
          <w:rFonts w:cstheme="minorHAnsi"/>
          <w:szCs w:val="24"/>
          <w:lang w:val="en-US"/>
        </w:rPr>
        <w:lastRenderedPageBreak/>
        <w:t>As of March 31, 2021, the Commission had a full complement of 17 Commission members which includes the Chair.  The total remuneration paid in 2020-21 was $116,190 which is financed from NEC’s operating budget. Commissioner travel expenses are posted on the NEC website quarterly.  Due to COVID-19 the Commission met via WebEx from May 2020 to March 2021.  During this time, there were no Commissioner expense claims and only a few expense claims for the Chair.</w:t>
      </w:r>
    </w:p>
    <w:p w14:paraId="01FBAEAD" w14:textId="77777777" w:rsidR="005E50C9" w:rsidRPr="0003039F" w:rsidRDefault="005E50C9" w:rsidP="0003039F">
      <w:pPr>
        <w:pStyle w:val="NoSpacing"/>
        <w:spacing w:line="276" w:lineRule="auto"/>
        <w:jc w:val="both"/>
        <w:rPr>
          <w:rFonts w:cstheme="minorHAnsi"/>
          <w:szCs w:val="24"/>
          <w:highlight w:val="magenta"/>
          <w:lang w:val="en-US"/>
        </w:rPr>
      </w:pPr>
    </w:p>
    <w:p w14:paraId="2F68C431" w14:textId="2CF6CF76" w:rsidR="005E50C9" w:rsidRPr="0003039F" w:rsidRDefault="005E50C9" w:rsidP="0003039F">
      <w:pPr>
        <w:pStyle w:val="NoSpacing"/>
        <w:spacing w:line="276" w:lineRule="auto"/>
        <w:jc w:val="both"/>
        <w:rPr>
          <w:rFonts w:cstheme="minorHAnsi"/>
          <w:szCs w:val="24"/>
          <w:lang w:val="en-US"/>
        </w:rPr>
      </w:pPr>
      <w:r w:rsidRPr="0003039F">
        <w:rPr>
          <w:rFonts w:cstheme="minorHAnsi"/>
          <w:szCs w:val="24"/>
          <w:lang w:val="en-US"/>
        </w:rPr>
        <w:t>The NEC started 2020-2021 with a $2,647,000 operating budget which was based on the actuals from fiscal 2019-2020.  This new budget saw an increase to the wages and benefits allocation at a level which allowed the Commission to staff to its complement of 24 FTEs and four additional seasonal positions.</w:t>
      </w:r>
      <w:r w:rsidR="00C06763" w:rsidRPr="0003039F">
        <w:rPr>
          <w:rFonts w:cstheme="minorHAnsi"/>
          <w:szCs w:val="24"/>
          <w:lang w:val="en-US"/>
        </w:rPr>
        <w:t xml:space="preserve">  </w:t>
      </w:r>
      <w:r w:rsidR="00C06763" w:rsidRPr="00B33B8A">
        <w:rPr>
          <w:rFonts w:cstheme="minorHAnsi"/>
          <w:szCs w:val="24"/>
          <w:lang w:val="en-US"/>
        </w:rPr>
        <w:t>A couple of positions were vacant following a retirement and temporary assignments, and several positions were unfilled for brief periods while the NEC adjusted to working and hiring remotely.  This</w:t>
      </w:r>
      <w:r w:rsidR="00581E74">
        <w:rPr>
          <w:rFonts w:cstheme="minorHAnsi"/>
          <w:szCs w:val="24"/>
          <w:lang w:val="en-US"/>
        </w:rPr>
        <w:t>,</w:t>
      </w:r>
      <w:r w:rsidR="00C06763" w:rsidRPr="00B33B8A">
        <w:rPr>
          <w:rFonts w:cstheme="minorHAnsi"/>
          <w:szCs w:val="24"/>
          <w:lang w:val="en-US"/>
        </w:rPr>
        <w:t xml:space="preserve"> combined with many new and contract staff</w:t>
      </w:r>
      <w:r w:rsidR="00581E74">
        <w:rPr>
          <w:rFonts w:cstheme="minorHAnsi"/>
          <w:szCs w:val="24"/>
          <w:lang w:val="en-US"/>
        </w:rPr>
        <w:t>,</w:t>
      </w:r>
      <w:r w:rsidR="00C06763" w:rsidRPr="00B33B8A">
        <w:rPr>
          <w:rFonts w:cstheme="minorHAnsi"/>
          <w:szCs w:val="24"/>
          <w:lang w:val="en-US"/>
        </w:rPr>
        <w:t xml:space="preserve"> led to additional funds in the wages and benefits allocation that were returned through a Treasury Board Order as noted in the chart above.  The NEC anticipates that it will continue to hire to its FTE maximum in the coming fiscal.</w:t>
      </w:r>
      <w:r w:rsidR="00C06763" w:rsidRPr="0003039F">
        <w:rPr>
          <w:rFonts w:cstheme="minorHAnsi"/>
          <w:szCs w:val="24"/>
          <w:lang w:val="en-US"/>
        </w:rPr>
        <w:t xml:space="preserve">  </w:t>
      </w:r>
    </w:p>
    <w:p w14:paraId="613B5F1F" w14:textId="77777777" w:rsidR="005E50C9" w:rsidRPr="0003039F" w:rsidRDefault="005E50C9" w:rsidP="0003039F">
      <w:pPr>
        <w:pStyle w:val="NoSpacing"/>
        <w:spacing w:line="276" w:lineRule="auto"/>
        <w:jc w:val="both"/>
        <w:rPr>
          <w:rFonts w:cstheme="minorHAnsi"/>
          <w:szCs w:val="24"/>
          <w:lang w:val="en-US"/>
        </w:rPr>
      </w:pPr>
    </w:p>
    <w:p w14:paraId="3DBD1881" w14:textId="41E100A3" w:rsidR="005E50C9" w:rsidRPr="0003039F" w:rsidRDefault="005E50C9" w:rsidP="0003039F">
      <w:pPr>
        <w:pStyle w:val="NoSpacing"/>
        <w:spacing w:line="276" w:lineRule="auto"/>
        <w:jc w:val="both"/>
        <w:rPr>
          <w:rFonts w:cstheme="minorHAnsi"/>
          <w:szCs w:val="24"/>
          <w:lang w:val="en-US"/>
        </w:rPr>
      </w:pPr>
      <w:r w:rsidRPr="0003039F">
        <w:rPr>
          <w:rFonts w:cstheme="minorHAnsi"/>
          <w:szCs w:val="24"/>
          <w:lang w:val="en-US"/>
        </w:rPr>
        <w:t xml:space="preserve">The NEC was able to spend within its operating budget for 2020-21 due to operational savings associated the COVID-19 pandemic and resulting restrictions.  Staff began the fiscal working remotely with access to the office  limited </w:t>
      </w:r>
      <w:r w:rsidR="003874D9" w:rsidRPr="0003039F">
        <w:rPr>
          <w:rFonts w:cstheme="minorHAnsi"/>
          <w:szCs w:val="24"/>
          <w:lang w:val="en-US"/>
        </w:rPr>
        <w:t>for</w:t>
      </w:r>
      <w:r w:rsidRPr="0003039F">
        <w:rPr>
          <w:rFonts w:cstheme="minorHAnsi"/>
          <w:szCs w:val="24"/>
          <w:lang w:val="en-US"/>
        </w:rPr>
        <w:t xml:space="preserve"> essential</w:t>
      </w:r>
      <w:r w:rsidR="00EF2001" w:rsidRPr="0003039F">
        <w:rPr>
          <w:rFonts w:cstheme="minorHAnsi"/>
          <w:szCs w:val="24"/>
          <w:lang w:val="en-US"/>
        </w:rPr>
        <w:t xml:space="preserve"> purposes only</w:t>
      </w:r>
      <w:r w:rsidRPr="0003039F">
        <w:rPr>
          <w:rFonts w:cstheme="minorHAnsi"/>
          <w:szCs w:val="24"/>
          <w:lang w:val="en-US"/>
        </w:rPr>
        <w:t xml:space="preserve">.  This created a reduction in staff training options and </w:t>
      </w:r>
      <w:r w:rsidR="000A3E62" w:rsidRPr="0003039F">
        <w:rPr>
          <w:rFonts w:cstheme="minorHAnsi"/>
          <w:szCs w:val="24"/>
          <w:lang w:val="en-US"/>
        </w:rPr>
        <w:t>minor</w:t>
      </w:r>
      <w:r w:rsidRPr="0003039F">
        <w:rPr>
          <w:rFonts w:cstheme="minorHAnsi"/>
          <w:szCs w:val="24"/>
          <w:lang w:val="en-US"/>
        </w:rPr>
        <w:t xml:space="preserve"> travel for site visits.  Outreach and Commission meetings were held virtually.  The reductions in spending from previous fiscals combined with </w:t>
      </w:r>
      <w:r w:rsidR="00A62A23" w:rsidRPr="0003039F">
        <w:rPr>
          <w:rFonts w:cstheme="minorHAnsi"/>
          <w:szCs w:val="24"/>
          <w:lang w:val="en-US"/>
        </w:rPr>
        <w:t xml:space="preserve">savings attributed to the </w:t>
      </w:r>
      <w:r w:rsidRPr="0003039F">
        <w:rPr>
          <w:rFonts w:cstheme="minorHAnsi"/>
          <w:szCs w:val="24"/>
          <w:lang w:val="en-US"/>
        </w:rPr>
        <w:t>COVID-19</w:t>
      </w:r>
      <w:r w:rsidR="00A62A23" w:rsidRPr="0003039F">
        <w:rPr>
          <w:rFonts w:cstheme="minorHAnsi"/>
          <w:szCs w:val="24"/>
          <w:lang w:val="en-US"/>
        </w:rPr>
        <w:t xml:space="preserve"> pandemic</w:t>
      </w:r>
      <w:r w:rsidRPr="0003039F">
        <w:rPr>
          <w:rFonts w:cstheme="minorHAnsi"/>
          <w:szCs w:val="24"/>
          <w:lang w:val="en-US"/>
        </w:rPr>
        <w:t xml:space="preserve"> led to a reduction in spending for fiscal 2020-21.  This is an interim savings, and spending is expected to be normalized in the next fiscal year.</w:t>
      </w:r>
    </w:p>
    <w:p w14:paraId="6F69DBAD" w14:textId="1D47DFA8" w:rsidR="005E50C9" w:rsidRDefault="005E50C9" w:rsidP="00A064B5"/>
    <w:p w14:paraId="284010C1" w14:textId="77777777" w:rsidR="00352A33" w:rsidRDefault="00352A33">
      <w:pPr>
        <w:rPr>
          <w:sz w:val="64"/>
          <w:szCs w:val="64"/>
        </w:rPr>
      </w:pPr>
      <w:bookmarkStart w:id="85" w:name="_Toc44333634"/>
      <w:r>
        <w:br w:type="page"/>
      </w:r>
    </w:p>
    <w:p w14:paraId="07B6747B" w14:textId="47B48A2D" w:rsidR="00352A33" w:rsidRDefault="00352A33" w:rsidP="00352A33">
      <w:pPr>
        <w:pStyle w:val="Heading1"/>
        <w:jc w:val="left"/>
      </w:pPr>
      <w:bookmarkStart w:id="86" w:name="_Toc74895919"/>
      <w:r>
        <w:lastRenderedPageBreak/>
        <w:t>Appendices</w:t>
      </w:r>
      <w:bookmarkEnd w:id="86"/>
    </w:p>
    <w:p w14:paraId="7425C101" w14:textId="676A2957" w:rsidR="003A2336" w:rsidRPr="003A2336" w:rsidRDefault="003A2336" w:rsidP="003A2336">
      <w:r>
        <w:rPr>
          <w:noProof/>
        </w:rPr>
        <mc:AlternateContent>
          <mc:Choice Requires="wps">
            <w:drawing>
              <wp:anchor distT="0" distB="0" distL="114300" distR="114300" simplePos="0" relativeHeight="251661824" behindDoc="0" locked="0" layoutInCell="1" allowOverlap="1" wp14:anchorId="6EC0D0AF" wp14:editId="1ACAF7E7">
                <wp:simplePos x="0" y="0"/>
                <wp:positionH relativeFrom="column">
                  <wp:posOffset>0</wp:posOffset>
                </wp:positionH>
                <wp:positionV relativeFrom="paragraph">
                  <wp:posOffset>0</wp:posOffset>
                </wp:positionV>
                <wp:extent cx="6068291" cy="0"/>
                <wp:effectExtent l="0" t="0" r="0" b="0"/>
                <wp:wrapNone/>
                <wp:docPr id="18" name="Straight Connector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0682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CD6EACD" id="Straight Connector 18" o:spid="_x0000_s1026" alt="&quot;&quot;"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0,0" to="477.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" strokecolor="black [3040]"/>
            </w:pict>
          </mc:Fallback>
        </mc:AlternateContent>
      </w:r>
    </w:p>
    <w:p w14:paraId="00C459D2" w14:textId="77777777" w:rsidR="00352A33" w:rsidRDefault="00352A33">
      <w:pPr>
        <w:rPr>
          <w:sz w:val="64"/>
          <w:szCs w:val="64"/>
        </w:rPr>
      </w:pPr>
      <w:r>
        <w:br w:type="page"/>
      </w:r>
    </w:p>
    <w:p w14:paraId="6B14D1D9" w14:textId="3A07F27C" w:rsidR="00546B2E" w:rsidRDefault="00546B2E" w:rsidP="00352A33">
      <w:pPr>
        <w:pStyle w:val="Heading2"/>
      </w:pPr>
      <w:bookmarkStart w:id="87" w:name="_Toc74895920"/>
      <w:r>
        <w:lastRenderedPageBreak/>
        <w:t>Appendix 1:</w:t>
      </w:r>
      <w:r w:rsidR="009719D3">
        <w:t xml:space="preserve"> </w:t>
      </w:r>
      <w:r>
        <w:t>Niagara Escarpment Commission OIC Appointments</w:t>
      </w:r>
      <w:bookmarkEnd w:id="85"/>
      <w:bookmarkEnd w:id="87"/>
    </w:p>
    <w:p w14:paraId="5C3F7991" w14:textId="77777777" w:rsidR="0003039F" w:rsidRPr="0003039F" w:rsidRDefault="0003039F" w:rsidP="00546B2E">
      <w:pPr>
        <w:spacing w:after="120"/>
        <w:ind w:left="-142"/>
        <w:rPr>
          <w:sz w:val="12"/>
          <w:szCs w:val="10"/>
        </w:rPr>
      </w:pPr>
    </w:p>
    <w:p w14:paraId="18C35231" w14:textId="58D0C5C2" w:rsidR="00546B2E" w:rsidRDefault="00546B2E" w:rsidP="00546B2E">
      <w:pPr>
        <w:spacing w:after="120"/>
        <w:ind w:left="-142"/>
      </w:pPr>
      <w:r w:rsidRPr="00131A69">
        <w:t xml:space="preserve">Niagara Escarpment Commission Members (As of March 31, </w:t>
      </w:r>
      <w:r>
        <w:t>2021</w:t>
      </w:r>
      <w:r w:rsidRPr="00131A69">
        <w:t>)</w:t>
      </w:r>
    </w:p>
    <w:tbl>
      <w:tblPr>
        <w:tblStyle w:val="TableGrid"/>
        <w:tblW w:w="10003" w:type="dxa"/>
        <w:tblInd w:w="-147" w:type="dxa"/>
        <w:tblLayout w:type="fixed"/>
        <w:tblLook w:val="04A0" w:firstRow="1" w:lastRow="0" w:firstColumn="1" w:lastColumn="0" w:noHBand="0" w:noVBand="1"/>
      </w:tblPr>
      <w:tblGrid>
        <w:gridCol w:w="2552"/>
        <w:gridCol w:w="2394"/>
        <w:gridCol w:w="2326"/>
        <w:gridCol w:w="2731"/>
      </w:tblGrid>
      <w:tr w:rsidR="00546B2E" w14:paraId="78A5BED6" w14:textId="77777777" w:rsidTr="00AB2342">
        <w:trPr>
          <w:trHeight w:val="833"/>
        </w:trPr>
        <w:tc>
          <w:tcPr>
            <w:tcW w:w="2552" w:type="dxa"/>
            <w:tcBorders>
              <w:right w:val="nil"/>
            </w:tcBorders>
            <w:shd w:val="clear" w:color="auto" w:fill="002060"/>
            <w:vAlign w:val="center"/>
          </w:tcPr>
          <w:p w14:paraId="1834EC0F" w14:textId="77777777" w:rsidR="00546B2E" w:rsidRPr="001E3B01" w:rsidRDefault="00546B2E" w:rsidP="00AB2342">
            <w:pPr>
              <w:rPr>
                <w:rFonts w:ascii="Tahoma" w:hAnsi="Tahoma" w:cs="Tahoma"/>
                <w:color w:val="FFFFFF" w:themeColor="background1"/>
              </w:rPr>
            </w:pPr>
            <w:r w:rsidRPr="001E3B01">
              <w:rPr>
                <w:rFonts w:ascii="Tahoma" w:hAnsi="Tahoma" w:cs="Tahoma"/>
                <w:color w:val="FFFFFF" w:themeColor="background1"/>
              </w:rPr>
              <w:t>Commissioner</w:t>
            </w:r>
          </w:p>
        </w:tc>
        <w:tc>
          <w:tcPr>
            <w:tcW w:w="2394" w:type="dxa"/>
            <w:tcBorders>
              <w:left w:val="nil"/>
              <w:right w:val="nil"/>
            </w:tcBorders>
            <w:shd w:val="clear" w:color="auto" w:fill="002060"/>
            <w:vAlign w:val="center"/>
          </w:tcPr>
          <w:p w14:paraId="4150AF26" w14:textId="77777777" w:rsidR="00546B2E" w:rsidRPr="001E3B01" w:rsidRDefault="00546B2E" w:rsidP="00AB2342">
            <w:pPr>
              <w:rPr>
                <w:rFonts w:ascii="Tahoma" w:hAnsi="Tahoma" w:cs="Tahoma"/>
              </w:rPr>
            </w:pPr>
            <w:r w:rsidRPr="001E3B01">
              <w:rPr>
                <w:rFonts w:ascii="Tahoma" w:hAnsi="Tahoma" w:cs="Tahoma"/>
                <w:color w:val="FFFFFF" w:themeColor="background1"/>
              </w:rPr>
              <w:t>Municipal</w:t>
            </w:r>
          </w:p>
        </w:tc>
        <w:tc>
          <w:tcPr>
            <w:tcW w:w="2326" w:type="dxa"/>
            <w:tcBorders>
              <w:left w:val="nil"/>
              <w:right w:val="nil"/>
            </w:tcBorders>
            <w:shd w:val="clear" w:color="auto" w:fill="002060"/>
            <w:vAlign w:val="center"/>
          </w:tcPr>
          <w:p w14:paraId="4F5C2B62" w14:textId="77777777" w:rsidR="00546B2E" w:rsidRPr="001E3B01" w:rsidRDefault="00546B2E" w:rsidP="00AB2342">
            <w:pPr>
              <w:rPr>
                <w:rFonts w:ascii="Tahoma" w:hAnsi="Tahoma" w:cs="Tahoma"/>
                <w:color w:val="FFFFFF" w:themeColor="background1"/>
              </w:rPr>
            </w:pPr>
            <w:r w:rsidRPr="001E3B01">
              <w:rPr>
                <w:rFonts w:ascii="Tahoma" w:hAnsi="Tahoma" w:cs="Tahoma"/>
                <w:color w:val="FFFFFF" w:themeColor="background1"/>
              </w:rPr>
              <w:t>Region/County/City</w:t>
            </w:r>
          </w:p>
        </w:tc>
        <w:tc>
          <w:tcPr>
            <w:tcW w:w="2731" w:type="dxa"/>
            <w:tcBorders>
              <w:left w:val="nil"/>
            </w:tcBorders>
            <w:shd w:val="clear" w:color="auto" w:fill="002060"/>
            <w:vAlign w:val="center"/>
          </w:tcPr>
          <w:p w14:paraId="1DF91BA1" w14:textId="77777777" w:rsidR="00546B2E" w:rsidRPr="001E3B01" w:rsidRDefault="00546B2E" w:rsidP="00AB2342">
            <w:pPr>
              <w:rPr>
                <w:rFonts w:ascii="Tahoma" w:hAnsi="Tahoma" w:cs="Tahoma"/>
                <w:color w:val="FFFFFF" w:themeColor="background1"/>
              </w:rPr>
            </w:pPr>
            <w:r w:rsidRPr="001E3B01">
              <w:rPr>
                <w:rFonts w:ascii="Tahoma" w:hAnsi="Tahoma" w:cs="Tahoma"/>
                <w:color w:val="FFFFFF" w:themeColor="background1"/>
              </w:rPr>
              <w:t>Term Expires</w:t>
            </w:r>
          </w:p>
        </w:tc>
      </w:tr>
      <w:tr w:rsidR="00546B2E" w14:paraId="68751CBC" w14:textId="77777777" w:rsidTr="00AB2342">
        <w:trPr>
          <w:trHeight w:val="556"/>
        </w:trPr>
        <w:tc>
          <w:tcPr>
            <w:tcW w:w="2552" w:type="dxa"/>
            <w:vAlign w:val="center"/>
          </w:tcPr>
          <w:p w14:paraId="0996FF4C" w14:textId="77777777" w:rsidR="00546B2E" w:rsidRPr="005B38F1" w:rsidRDefault="00546B2E" w:rsidP="00AB2342">
            <w:pPr>
              <w:rPr>
                <w:rFonts w:ascii="Tahoma" w:hAnsi="Tahoma" w:cs="Tahoma"/>
                <w:sz w:val="20"/>
                <w:szCs w:val="20"/>
              </w:rPr>
            </w:pPr>
            <w:r w:rsidRPr="4858BB0B">
              <w:rPr>
                <w:rFonts w:ascii="Tahoma" w:hAnsi="Tahoma" w:cs="Tahoma"/>
                <w:sz w:val="20"/>
                <w:szCs w:val="20"/>
              </w:rPr>
              <w:t>Laurie Golden</w:t>
            </w:r>
          </w:p>
        </w:tc>
        <w:tc>
          <w:tcPr>
            <w:tcW w:w="2394" w:type="dxa"/>
            <w:vAlign w:val="center"/>
          </w:tcPr>
          <w:p w14:paraId="00CCBB4A" w14:textId="77777777" w:rsidR="00546B2E" w:rsidRPr="005B38F1" w:rsidRDefault="00546B2E" w:rsidP="00AB2342">
            <w:pPr>
              <w:rPr>
                <w:rFonts w:ascii="Tahoma" w:hAnsi="Tahoma" w:cs="Tahoma"/>
                <w:sz w:val="20"/>
                <w:szCs w:val="20"/>
              </w:rPr>
            </w:pPr>
            <w:r w:rsidRPr="005B38F1">
              <w:rPr>
                <w:rFonts w:ascii="Tahoma" w:hAnsi="Tahoma" w:cs="Tahoma"/>
                <w:sz w:val="20"/>
                <w:szCs w:val="20"/>
              </w:rPr>
              <w:t>Municipal</w:t>
            </w:r>
          </w:p>
        </w:tc>
        <w:tc>
          <w:tcPr>
            <w:tcW w:w="2326" w:type="dxa"/>
            <w:vAlign w:val="center"/>
          </w:tcPr>
          <w:p w14:paraId="4939AD98" w14:textId="77777777" w:rsidR="00546B2E" w:rsidRPr="005B38F1" w:rsidRDefault="00546B2E" w:rsidP="00AB2342">
            <w:pPr>
              <w:rPr>
                <w:rFonts w:ascii="Tahoma" w:hAnsi="Tahoma" w:cs="Tahoma"/>
                <w:sz w:val="20"/>
                <w:szCs w:val="20"/>
              </w:rPr>
            </w:pPr>
            <w:r w:rsidRPr="005B38F1">
              <w:rPr>
                <w:rFonts w:ascii="Tahoma" w:hAnsi="Tahoma" w:cs="Tahoma"/>
                <w:sz w:val="20"/>
                <w:szCs w:val="20"/>
              </w:rPr>
              <w:t>Bruce County</w:t>
            </w:r>
          </w:p>
        </w:tc>
        <w:tc>
          <w:tcPr>
            <w:tcW w:w="2731" w:type="dxa"/>
            <w:vAlign w:val="center"/>
          </w:tcPr>
          <w:p w14:paraId="44C58466" w14:textId="77777777" w:rsidR="00546B2E" w:rsidRPr="005B38F1" w:rsidRDefault="00546B2E" w:rsidP="00AB2342">
            <w:pPr>
              <w:rPr>
                <w:rFonts w:ascii="Tahoma" w:hAnsi="Tahoma" w:cs="Tahoma"/>
                <w:sz w:val="20"/>
                <w:szCs w:val="20"/>
              </w:rPr>
            </w:pPr>
            <w:r w:rsidRPr="4D7690C2">
              <w:rPr>
                <w:rFonts w:ascii="Tahoma" w:hAnsi="Tahoma" w:cs="Tahoma"/>
                <w:sz w:val="20"/>
                <w:szCs w:val="20"/>
              </w:rPr>
              <w:t>December 31, 202</w:t>
            </w:r>
            <w:r>
              <w:rPr>
                <w:rFonts w:ascii="Tahoma" w:hAnsi="Tahoma" w:cs="Tahoma"/>
                <w:sz w:val="20"/>
                <w:szCs w:val="20"/>
              </w:rPr>
              <w:t>2</w:t>
            </w:r>
          </w:p>
        </w:tc>
      </w:tr>
      <w:tr w:rsidR="00546B2E" w14:paraId="40A9FF8C" w14:textId="77777777" w:rsidTr="00AB2342">
        <w:trPr>
          <w:trHeight w:val="556"/>
        </w:trPr>
        <w:tc>
          <w:tcPr>
            <w:tcW w:w="2552" w:type="dxa"/>
            <w:vAlign w:val="center"/>
          </w:tcPr>
          <w:p w14:paraId="6FDC56C6" w14:textId="77777777" w:rsidR="00546B2E" w:rsidRPr="005B38F1" w:rsidRDefault="00546B2E" w:rsidP="00AB2342">
            <w:pPr>
              <w:tabs>
                <w:tab w:val="left" w:pos="2602"/>
              </w:tabs>
              <w:ind w:right="833"/>
              <w:rPr>
                <w:rFonts w:ascii="Tahoma" w:hAnsi="Tahoma" w:cs="Tahoma"/>
                <w:sz w:val="20"/>
                <w:szCs w:val="20"/>
              </w:rPr>
            </w:pPr>
            <w:r w:rsidRPr="005B38F1">
              <w:rPr>
                <w:rFonts w:ascii="Tahoma" w:hAnsi="Tahoma" w:cs="Tahoma"/>
                <w:sz w:val="20"/>
                <w:szCs w:val="20"/>
              </w:rPr>
              <w:t>Paul McQueen</w:t>
            </w:r>
          </w:p>
        </w:tc>
        <w:tc>
          <w:tcPr>
            <w:tcW w:w="2394" w:type="dxa"/>
            <w:vAlign w:val="center"/>
          </w:tcPr>
          <w:p w14:paraId="72F9DB25" w14:textId="77777777" w:rsidR="00546B2E" w:rsidRPr="005B38F1" w:rsidRDefault="00546B2E" w:rsidP="00AB2342">
            <w:pPr>
              <w:rPr>
                <w:rFonts w:ascii="Tahoma" w:hAnsi="Tahoma" w:cs="Tahoma"/>
                <w:sz w:val="20"/>
                <w:szCs w:val="20"/>
              </w:rPr>
            </w:pPr>
            <w:r w:rsidRPr="005B38F1">
              <w:rPr>
                <w:rFonts w:ascii="Tahoma" w:hAnsi="Tahoma" w:cs="Tahoma"/>
                <w:sz w:val="20"/>
                <w:szCs w:val="20"/>
              </w:rPr>
              <w:t>Municipal</w:t>
            </w:r>
          </w:p>
        </w:tc>
        <w:tc>
          <w:tcPr>
            <w:tcW w:w="2326" w:type="dxa"/>
            <w:vAlign w:val="center"/>
          </w:tcPr>
          <w:p w14:paraId="765905F6" w14:textId="77777777" w:rsidR="00546B2E" w:rsidRPr="005B38F1" w:rsidRDefault="00546B2E" w:rsidP="00AB2342">
            <w:pPr>
              <w:rPr>
                <w:rFonts w:ascii="Tahoma" w:hAnsi="Tahoma" w:cs="Tahoma"/>
                <w:sz w:val="20"/>
                <w:szCs w:val="20"/>
              </w:rPr>
            </w:pPr>
            <w:r w:rsidRPr="005B38F1">
              <w:rPr>
                <w:rFonts w:ascii="Tahoma" w:hAnsi="Tahoma" w:cs="Tahoma"/>
                <w:sz w:val="20"/>
                <w:szCs w:val="20"/>
              </w:rPr>
              <w:t>Grey County</w:t>
            </w:r>
          </w:p>
        </w:tc>
        <w:tc>
          <w:tcPr>
            <w:tcW w:w="2731" w:type="dxa"/>
            <w:vAlign w:val="center"/>
          </w:tcPr>
          <w:p w14:paraId="5046A162" w14:textId="77777777" w:rsidR="00546B2E" w:rsidRPr="005B38F1" w:rsidRDefault="00546B2E" w:rsidP="00AB2342">
            <w:pPr>
              <w:rPr>
                <w:rFonts w:ascii="Tahoma" w:hAnsi="Tahoma" w:cs="Tahoma"/>
                <w:sz w:val="20"/>
                <w:szCs w:val="20"/>
              </w:rPr>
            </w:pPr>
            <w:r w:rsidRPr="4D7690C2">
              <w:rPr>
                <w:rFonts w:ascii="Tahoma" w:hAnsi="Tahoma" w:cs="Tahoma"/>
                <w:sz w:val="20"/>
                <w:szCs w:val="20"/>
              </w:rPr>
              <w:t>December 31, 2022</w:t>
            </w:r>
          </w:p>
        </w:tc>
      </w:tr>
      <w:tr w:rsidR="00546B2E" w14:paraId="248CDC3A" w14:textId="77777777" w:rsidTr="00AB2342">
        <w:trPr>
          <w:trHeight w:val="556"/>
        </w:trPr>
        <w:tc>
          <w:tcPr>
            <w:tcW w:w="2552" w:type="dxa"/>
            <w:vAlign w:val="center"/>
          </w:tcPr>
          <w:p w14:paraId="54BD7A9F" w14:textId="77777777" w:rsidR="00546B2E" w:rsidRPr="005B38F1" w:rsidRDefault="00546B2E" w:rsidP="00AB2342">
            <w:pPr>
              <w:rPr>
                <w:rFonts w:ascii="Tahoma" w:hAnsi="Tahoma" w:cs="Tahoma"/>
                <w:sz w:val="20"/>
                <w:szCs w:val="20"/>
              </w:rPr>
            </w:pPr>
            <w:r w:rsidRPr="005B38F1">
              <w:rPr>
                <w:rFonts w:ascii="Tahoma" w:hAnsi="Tahoma" w:cs="Tahoma"/>
                <w:sz w:val="20"/>
                <w:szCs w:val="20"/>
              </w:rPr>
              <w:t>Barry Burton</w:t>
            </w:r>
          </w:p>
        </w:tc>
        <w:tc>
          <w:tcPr>
            <w:tcW w:w="2394" w:type="dxa"/>
            <w:vAlign w:val="center"/>
          </w:tcPr>
          <w:p w14:paraId="0415FAA9" w14:textId="77777777" w:rsidR="00546B2E" w:rsidRPr="005B38F1" w:rsidRDefault="00546B2E" w:rsidP="00AB2342">
            <w:pPr>
              <w:rPr>
                <w:rFonts w:ascii="Tahoma" w:hAnsi="Tahoma" w:cs="Tahoma"/>
                <w:sz w:val="20"/>
                <w:szCs w:val="20"/>
              </w:rPr>
            </w:pPr>
            <w:r w:rsidRPr="005B38F1">
              <w:rPr>
                <w:rFonts w:ascii="Tahoma" w:hAnsi="Tahoma" w:cs="Tahoma"/>
                <w:sz w:val="20"/>
                <w:szCs w:val="20"/>
              </w:rPr>
              <w:t>Municipal</w:t>
            </w:r>
          </w:p>
        </w:tc>
        <w:tc>
          <w:tcPr>
            <w:tcW w:w="2326" w:type="dxa"/>
            <w:vAlign w:val="center"/>
          </w:tcPr>
          <w:p w14:paraId="5A3DD127" w14:textId="77777777" w:rsidR="00546B2E" w:rsidRPr="005B38F1" w:rsidRDefault="00546B2E" w:rsidP="00AB2342">
            <w:pPr>
              <w:rPr>
                <w:rFonts w:ascii="Tahoma" w:hAnsi="Tahoma" w:cs="Tahoma"/>
                <w:sz w:val="20"/>
                <w:szCs w:val="20"/>
              </w:rPr>
            </w:pPr>
            <w:r w:rsidRPr="005B38F1">
              <w:rPr>
                <w:rFonts w:ascii="Tahoma" w:hAnsi="Tahoma" w:cs="Tahoma"/>
                <w:sz w:val="20"/>
                <w:szCs w:val="20"/>
              </w:rPr>
              <w:t>Simcoe County</w:t>
            </w:r>
          </w:p>
        </w:tc>
        <w:tc>
          <w:tcPr>
            <w:tcW w:w="2731" w:type="dxa"/>
            <w:vAlign w:val="center"/>
          </w:tcPr>
          <w:p w14:paraId="108DA202" w14:textId="77777777" w:rsidR="00546B2E" w:rsidRPr="005B38F1" w:rsidRDefault="00546B2E" w:rsidP="00AB2342">
            <w:pPr>
              <w:rPr>
                <w:rFonts w:ascii="Tahoma" w:hAnsi="Tahoma" w:cs="Tahoma"/>
                <w:sz w:val="20"/>
                <w:szCs w:val="20"/>
              </w:rPr>
            </w:pPr>
            <w:r w:rsidRPr="4D7690C2">
              <w:rPr>
                <w:rFonts w:ascii="Tahoma" w:hAnsi="Tahoma" w:cs="Tahoma"/>
                <w:sz w:val="20"/>
                <w:szCs w:val="20"/>
              </w:rPr>
              <w:t>December 31, 2022</w:t>
            </w:r>
          </w:p>
        </w:tc>
      </w:tr>
      <w:tr w:rsidR="00546B2E" w14:paraId="4A24157D" w14:textId="77777777" w:rsidTr="00AB2342">
        <w:trPr>
          <w:trHeight w:val="556"/>
        </w:trPr>
        <w:tc>
          <w:tcPr>
            <w:tcW w:w="2552" w:type="dxa"/>
            <w:vAlign w:val="center"/>
          </w:tcPr>
          <w:p w14:paraId="4AE96B12" w14:textId="77777777" w:rsidR="00546B2E" w:rsidRPr="005B38F1" w:rsidRDefault="00546B2E" w:rsidP="00AB2342">
            <w:pPr>
              <w:rPr>
                <w:rFonts w:ascii="Tahoma" w:hAnsi="Tahoma" w:cs="Tahoma"/>
                <w:sz w:val="20"/>
                <w:szCs w:val="20"/>
              </w:rPr>
            </w:pPr>
            <w:r w:rsidRPr="005B38F1">
              <w:rPr>
                <w:rFonts w:ascii="Tahoma" w:hAnsi="Tahoma" w:cs="Tahoma"/>
                <w:sz w:val="20"/>
                <w:szCs w:val="20"/>
              </w:rPr>
              <w:t>Janet Horner</w:t>
            </w:r>
          </w:p>
        </w:tc>
        <w:tc>
          <w:tcPr>
            <w:tcW w:w="2394" w:type="dxa"/>
            <w:vAlign w:val="center"/>
          </w:tcPr>
          <w:p w14:paraId="77BD6EBF" w14:textId="77777777" w:rsidR="00546B2E" w:rsidRPr="005B38F1" w:rsidRDefault="00546B2E" w:rsidP="00AB2342">
            <w:pPr>
              <w:rPr>
                <w:rFonts w:ascii="Tahoma" w:hAnsi="Tahoma" w:cs="Tahoma"/>
                <w:sz w:val="20"/>
                <w:szCs w:val="20"/>
              </w:rPr>
            </w:pPr>
            <w:r w:rsidRPr="005B38F1">
              <w:rPr>
                <w:rFonts w:ascii="Tahoma" w:hAnsi="Tahoma" w:cs="Tahoma"/>
                <w:sz w:val="20"/>
                <w:szCs w:val="20"/>
              </w:rPr>
              <w:t>Municipal</w:t>
            </w:r>
          </w:p>
        </w:tc>
        <w:tc>
          <w:tcPr>
            <w:tcW w:w="2326" w:type="dxa"/>
            <w:vAlign w:val="center"/>
          </w:tcPr>
          <w:p w14:paraId="394E9417" w14:textId="77777777" w:rsidR="00546B2E" w:rsidRPr="005B38F1" w:rsidRDefault="00546B2E" w:rsidP="00AB2342">
            <w:pPr>
              <w:rPr>
                <w:rFonts w:ascii="Tahoma" w:hAnsi="Tahoma" w:cs="Tahoma"/>
                <w:sz w:val="20"/>
                <w:szCs w:val="20"/>
              </w:rPr>
            </w:pPr>
            <w:r w:rsidRPr="005B38F1">
              <w:rPr>
                <w:rFonts w:ascii="Tahoma" w:hAnsi="Tahoma" w:cs="Tahoma"/>
                <w:sz w:val="20"/>
                <w:szCs w:val="20"/>
              </w:rPr>
              <w:t>Dufferin County</w:t>
            </w:r>
          </w:p>
        </w:tc>
        <w:tc>
          <w:tcPr>
            <w:tcW w:w="2731" w:type="dxa"/>
            <w:vAlign w:val="center"/>
          </w:tcPr>
          <w:p w14:paraId="16941631" w14:textId="77777777" w:rsidR="00546B2E" w:rsidRPr="005B38F1" w:rsidRDefault="00546B2E" w:rsidP="00AB2342">
            <w:pPr>
              <w:rPr>
                <w:rFonts w:ascii="Tahoma" w:hAnsi="Tahoma" w:cs="Tahoma"/>
                <w:sz w:val="20"/>
                <w:szCs w:val="20"/>
              </w:rPr>
            </w:pPr>
            <w:r>
              <w:rPr>
                <w:rFonts w:ascii="Tahoma" w:hAnsi="Tahoma" w:cs="Tahoma"/>
                <w:sz w:val="20"/>
                <w:szCs w:val="20"/>
              </w:rPr>
              <w:t xml:space="preserve">December </w:t>
            </w:r>
            <w:r w:rsidRPr="4D7690C2">
              <w:rPr>
                <w:rFonts w:ascii="Tahoma" w:hAnsi="Tahoma" w:cs="Tahoma"/>
                <w:sz w:val="20"/>
                <w:szCs w:val="20"/>
              </w:rPr>
              <w:t>31, 2022</w:t>
            </w:r>
          </w:p>
        </w:tc>
      </w:tr>
      <w:tr w:rsidR="00546B2E" w14:paraId="65E7497C" w14:textId="77777777" w:rsidTr="00AB2342">
        <w:trPr>
          <w:trHeight w:val="556"/>
        </w:trPr>
        <w:tc>
          <w:tcPr>
            <w:tcW w:w="2552" w:type="dxa"/>
            <w:vAlign w:val="center"/>
          </w:tcPr>
          <w:p w14:paraId="65594562" w14:textId="77777777" w:rsidR="00546B2E" w:rsidRPr="005B38F1" w:rsidRDefault="00546B2E" w:rsidP="00AB2342">
            <w:pPr>
              <w:rPr>
                <w:rFonts w:ascii="Tahoma" w:hAnsi="Tahoma" w:cs="Tahoma"/>
                <w:sz w:val="20"/>
                <w:szCs w:val="20"/>
              </w:rPr>
            </w:pPr>
            <w:r w:rsidRPr="005B38F1">
              <w:rPr>
                <w:rFonts w:ascii="Tahoma" w:hAnsi="Tahoma" w:cs="Tahoma"/>
                <w:sz w:val="20"/>
                <w:szCs w:val="20"/>
              </w:rPr>
              <w:t>Johanna Downey</w:t>
            </w:r>
          </w:p>
        </w:tc>
        <w:tc>
          <w:tcPr>
            <w:tcW w:w="2394" w:type="dxa"/>
            <w:vAlign w:val="center"/>
          </w:tcPr>
          <w:p w14:paraId="2CC7ACCD" w14:textId="77777777" w:rsidR="00546B2E" w:rsidRPr="005B38F1" w:rsidRDefault="00546B2E" w:rsidP="00AB2342">
            <w:pPr>
              <w:rPr>
                <w:rFonts w:ascii="Tahoma" w:hAnsi="Tahoma" w:cs="Tahoma"/>
                <w:sz w:val="20"/>
                <w:szCs w:val="20"/>
              </w:rPr>
            </w:pPr>
            <w:r w:rsidRPr="005B38F1">
              <w:rPr>
                <w:rFonts w:ascii="Tahoma" w:hAnsi="Tahoma" w:cs="Tahoma"/>
                <w:sz w:val="20"/>
                <w:szCs w:val="20"/>
              </w:rPr>
              <w:t>Municipal</w:t>
            </w:r>
          </w:p>
        </w:tc>
        <w:tc>
          <w:tcPr>
            <w:tcW w:w="2326" w:type="dxa"/>
            <w:vAlign w:val="center"/>
          </w:tcPr>
          <w:p w14:paraId="033CF30B" w14:textId="77777777" w:rsidR="00546B2E" w:rsidRPr="005B38F1" w:rsidRDefault="00546B2E" w:rsidP="00AB2342">
            <w:pPr>
              <w:rPr>
                <w:rFonts w:ascii="Tahoma" w:hAnsi="Tahoma" w:cs="Tahoma"/>
                <w:sz w:val="20"/>
                <w:szCs w:val="20"/>
              </w:rPr>
            </w:pPr>
            <w:r w:rsidRPr="005B38F1">
              <w:rPr>
                <w:rFonts w:ascii="Tahoma" w:hAnsi="Tahoma" w:cs="Tahoma"/>
                <w:sz w:val="20"/>
                <w:szCs w:val="20"/>
              </w:rPr>
              <w:t>Peel Region</w:t>
            </w:r>
          </w:p>
        </w:tc>
        <w:tc>
          <w:tcPr>
            <w:tcW w:w="2731" w:type="dxa"/>
            <w:vAlign w:val="center"/>
          </w:tcPr>
          <w:p w14:paraId="544493CF" w14:textId="77777777" w:rsidR="00546B2E" w:rsidRPr="005B38F1" w:rsidRDefault="00546B2E" w:rsidP="00AB2342">
            <w:pPr>
              <w:rPr>
                <w:rFonts w:ascii="Tahoma" w:hAnsi="Tahoma" w:cs="Tahoma"/>
                <w:sz w:val="20"/>
                <w:szCs w:val="20"/>
              </w:rPr>
            </w:pPr>
            <w:r w:rsidRPr="4D7690C2">
              <w:rPr>
                <w:rFonts w:ascii="Tahoma" w:hAnsi="Tahoma" w:cs="Tahoma"/>
                <w:sz w:val="20"/>
                <w:szCs w:val="20"/>
              </w:rPr>
              <w:t>December 31, 2022</w:t>
            </w:r>
          </w:p>
        </w:tc>
      </w:tr>
      <w:tr w:rsidR="00546B2E" w14:paraId="02824407" w14:textId="77777777" w:rsidTr="00AB2342">
        <w:trPr>
          <w:trHeight w:val="556"/>
        </w:trPr>
        <w:tc>
          <w:tcPr>
            <w:tcW w:w="2552" w:type="dxa"/>
            <w:vAlign w:val="center"/>
          </w:tcPr>
          <w:p w14:paraId="74FB105B" w14:textId="77777777" w:rsidR="00546B2E" w:rsidRPr="005B38F1" w:rsidRDefault="00546B2E" w:rsidP="00AB2342">
            <w:pPr>
              <w:rPr>
                <w:rFonts w:ascii="Tahoma" w:hAnsi="Tahoma" w:cs="Tahoma"/>
                <w:sz w:val="20"/>
                <w:szCs w:val="20"/>
              </w:rPr>
            </w:pPr>
            <w:proofErr w:type="spellStart"/>
            <w:r w:rsidRPr="1C3688DF">
              <w:rPr>
                <w:rFonts w:ascii="Tahoma" w:hAnsi="Tahoma" w:cs="Tahoma"/>
                <w:sz w:val="20"/>
                <w:szCs w:val="20"/>
              </w:rPr>
              <w:t>Gord</w:t>
            </w:r>
            <w:proofErr w:type="spellEnd"/>
            <w:r w:rsidRPr="1C3688DF">
              <w:rPr>
                <w:rFonts w:ascii="Tahoma" w:hAnsi="Tahoma" w:cs="Tahoma"/>
                <w:sz w:val="20"/>
                <w:szCs w:val="20"/>
              </w:rPr>
              <w:t xml:space="preserve"> Krantz</w:t>
            </w:r>
          </w:p>
        </w:tc>
        <w:tc>
          <w:tcPr>
            <w:tcW w:w="2394" w:type="dxa"/>
            <w:vAlign w:val="center"/>
          </w:tcPr>
          <w:p w14:paraId="5EAF6BFE" w14:textId="77777777" w:rsidR="00546B2E" w:rsidRPr="005B38F1" w:rsidRDefault="00546B2E" w:rsidP="00AB2342">
            <w:pPr>
              <w:rPr>
                <w:rFonts w:ascii="Tahoma" w:hAnsi="Tahoma" w:cs="Tahoma"/>
                <w:sz w:val="20"/>
                <w:szCs w:val="20"/>
              </w:rPr>
            </w:pPr>
            <w:r w:rsidRPr="005B38F1">
              <w:rPr>
                <w:rFonts w:ascii="Tahoma" w:hAnsi="Tahoma" w:cs="Tahoma"/>
                <w:sz w:val="20"/>
                <w:szCs w:val="20"/>
              </w:rPr>
              <w:t>Municipal</w:t>
            </w:r>
          </w:p>
        </w:tc>
        <w:tc>
          <w:tcPr>
            <w:tcW w:w="2326" w:type="dxa"/>
            <w:vAlign w:val="center"/>
          </w:tcPr>
          <w:p w14:paraId="0ACECFB6" w14:textId="77777777" w:rsidR="00546B2E" w:rsidRPr="005B38F1" w:rsidRDefault="00546B2E" w:rsidP="00AB2342">
            <w:pPr>
              <w:rPr>
                <w:rFonts w:ascii="Tahoma" w:hAnsi="Tahoma" w:cs="Tahoma"/>
                <w:sz w:val="20"/>
                <w:szCs w:val="20"/>
              </w:rPr>
            </w:pPr>
            <w:r w:rsidRPr="005B38F1">
              <w:rPr>
                <w:rFonts w:ascii="Tahoma" w:hAnsi="Tahoma" w:cs="Tahoma"/>
                <w:sz w:val="20"/>
                <w:szCs w:val="20"/>
              </w:rPr>
              <w:t>Halton Region</w:t>
            </w:r>
          </w:p>
        </w:tc>
        <w:tc>
          <w:tcPr>
            <w:tcW w:w="2731" w:type="dxa"/>
            <w:vAlign w:val="center"/>
          </w:tcPr>
          <w:p w14:paraId="3B0323D4" w14:textId="77777777" w:rsidR="00546B2E" w:rsidRPr="005B38F1" w:rsidRDefault="00546B2E" w:rsidP="00AB2342">
            <w:pPr>
              <w:rPr>
                <w:rFonts w:ascii="Tahoma" w:hAnsi="Tahoma" w:cs="Tahoma"/>
                <w:sz w:val="20"/>
                <w:szCs w:val="20"/>
              </w:rPr>
            </w:pPr>
            <w:r w:rsidRPr="4D7690C2">
              <w:rPr>
                <w:rFonts w:ascii="Tahoma" w:hAnsi="Tahoma" w:cs="Tahoma"/>
                <w:sz w:val="20"/>
                <w:szCs w:val="20"/>
              </w:rPr>
              <w:t>December 31, 2022</w:t>
            </w:r>
          </w:p>
        </w:tc>
      </w:tr>
      <w:tr w:rsidR="00546B2E" w14:paraId="4C4B0D73" w14:textId="77777777" w:rsidTr="00AB2342">
        <w:trPr>
          <w:trHeight w:val="556"/>
        </w:trPr>
        <w:tc>
          <w:tcPr>
            <w:tcW w:w="2552" w:type="dxa"/>
            <w:vAlign w:val="center"/>
          </w:tcPr>
          <w:p w14:paraId="5A786302" w14:textId="77777777" w:rsidR="00546B2E" w:rsidRPr="005B38F1" w:rsidRDefault="00546B2E" w:rsidP="00AB2342">
            <w:pPr>
              <w:rPr>
                <w:rFonts w:ascii="Tahoma" w:hAnsi="Tahoma" w:cs="Tahoma"/>
                <w:sz w:val="20"/>
                <w:szCs w:val="20"/>
              </w:rPr>
            </w:pPr>
            <w:r w:rsidRPr="6C2C1EE1">
              <w:rPr>
                <w:rFonts w:ascii="Tahoma" w:hAnsi="Tahoma" w:cs="Tahoma"/>
                <w:sz w:val="20"/>
                <w:szCs w:val="20"/>
              </w:rPr>
              <w:t>Brad Clark</w:t>
            </w:r>
          </w:p>
        </w:tc>
        <w:tc>
          <w:tcPr>
            <w:tcW w:w="2394" w:type="dxa"/>
            <w:vAlign w:val="center"/>
          </w:tcPr>
          <w:p w14:paraId="577B32D9" w14:textId="77777777" w:rsidR="00546B2E" w:rsidRPr="005B38F1" w:rsidRDefault="00546B2E" w:rsidP="00AB2342">
            <w:pPr>
              <w:rPr>
                <w:rFonts w:ascii="Tahoma" w:hAnsi="Tahoma" w:cs="Tahoma"/>
                <w:sz w:val="20"/>
                <w:szCs w:val="20"/>
              </w:rPr>
            </w:pPr>
            <w:r w:rsidRPr="005B38F1">
              <w:rPr>
                <w:rFonts w:ascii="Tahoma" w:hAnsi="Tahoma" w:cs="Tahoma"/>
                <w:sz w:val="20"/>
                <w:szCs w:val="20"/>
              </w:rPr>
              <w:t>Municipal</w:t>
            </w:r>
          </w:p>
        </w:tc>
        <w:tc>
          <w:tcPr>
            <w:tcW w:w="2326" w:type="dxa"/>
            <w:vAlign w:val="center"/>
          </w:tcPr>
          <w:p w14:paraId="2C5A87A0" w14:textId="77777777" w:rsidR="00546B2E" w:rsidRPr="005B38F1" w:rsidRDefault="00546B2E" w:rsidP="00AB2342">
            <w:pPr>
              <w:rPr>
                <w:rFonts w:ascii="Tahoma" w:hAnsi="Tahoma" w:cs="Tahoma"/>
                <w:sz w:val="20"/>
                <w:szCs w:val="20"/>
              </w:rPr>
            </w:pPr>
            <w:r w:rsidRPr="005B38F1">
              <w:rPr>
                <w:rFonts w:ascii="Tahoma" w:hAnsi="Tahoma" w:cs="Tahoma"/>
                <w:sz w:val="20"/>
                <w:szCs w:val="20"/>
              </w:rPr>
              <w:t>City of Hamilton</w:t>
            </w:r>
          </w:p>
        </w:tc>
        <w:tc>
          <w:tcPr>
            <w:tcW w:w="2731" w:type="dxa"/>
            <w:vAlign w:val="center"/>
          </w:tcPr>
          <w:p w14:paraId="2811C1F8" w14:textId="77777777" w:rsidR="00546B2E" w:rsidRPr="005B38F1" w:rsidRDefault="00546B2E" w:rsidP="00AB2342">
            <w:pPr>
              <w:rPr>
                <w:rFonts w:ascii="Tahoma" w:hAnsi="Tahoma" w:cs="Tahoma"/>
                <w:sz w:val="20"/>
                <w:szCs w:val="20"/>
              </w:rPr>
            </w:pPr>
            <w:r w:rsidRPr="5CFECCBA">
              <w:rPr>
                <w:rFonts w:ascii="Tahoma" w:hAnsi="Tahoma" w:cs="Tahoma"/>
                <w:sz w:val="20"/>
                <w:szCs w:val="20"/>
              </w:rPr>
              <w:t xml:space="preserve">December 31, </w:t>
            </w:r>
            <w:r w:rsidRPr="5D06DB03">
              <w:rPr>
                <w:rFonts w:ascii="Tahoma" w:hAnsi="Tahoma" w:cs="Tahoma"/>
                <w:sz w:val="20"/>
                <w:szCs w:val="20"/>
              </w:rPr>
              <w:t>2022</w:t>
            </w:r>
          </w:p>
        </w:tc>
      </w:tr>
      <w:tr w:rsidR="00546B2E" w14:paraId="22F84C5B" w14:textId="77777777" w:rsidTr="00AB2342">
        <w:trPr>
          <w:trHeight w:val="556"/>
        </w:trPr>
        <w:tc>
          <w:tcPr>
            <w:tcW w:w="2552" w:type="dxa"/>
            <w:vAlign w:val="center"/>
          </w:tcPr>
          <w:p w14:paraId="764FE41E" w14:textId="77777777" w:rsidR="00546B2E" w:rsidRPr="005B38F1" w:rsidRDefault="00546B2E" w:rsidP="00AB2342">
            <w:pPr>
              <w:rPr>
                <w:rFonts w:ascii="Tahoma" w:hAnsi="Tahoma" w:cs="Tahoma"/>
                <w:sz w:val="20"/>
                <w:szCs w:val="20"/>
              </w:rPr>
            </w:pPr>
            <w:r w:rsidRPr="4D7690C2">
              <w:rPr>
                <w:rFonts w:ascii="Tahoma" w:hAnsi="Tahoma" w:cs="Tahoma"/>
                <w:sz w:val="20"/>
                <w:szCs w:val="20"/>
              </w:rPr>
              <w:t>Albert Witteveen</w:t>
            </w:r>
          </w:p>
        </w:tc>
        <w:tc>
          <w:tcPr>
            <w:tcW w:w="2394" w:type="dxa"/>
            <w:vAlign w:val="center"/>
          </w:tcPr>
          <w:p w14:paraId="71EF4FF3" w14:textId="77777777" w:rsidR="00546B2E" w:rsidRPr="005B38F1" w:rsidRDefault="00546B2E" w:rsidP="00AB2342">
            <w:pPr>
              <w:rPr>
                <w:rFonts w:ascii="Tahoma" w:hAnsi="Tahoma" w:cs="Tahoma"/>
                <w:sz w:val="20"/>
                <w:szCs w:val="20"/>
              </w:rPr>
            </w:pPr>
            <w:r>
              <w:rPr>
                <w:rFonts w:ascii="Tahoma" w:hAnsi="Tahoma" w:cs="Tahoma"/>
                <w:sz w:val="20"/>
                <w:szCs w:val="20"/>
              </w:rPr>
              <w:t>Municipal</w:t>
            </w:r>
          </w:p>
        </w:tc>
        <w:tc>
          <w:tcPr>
            <w:tcW w:w="2326" w:type="dxa"/>
            <w:vAlign w:val="center"/>
          </w:tcPr>
          <w:p w14:paraId="04DB23A1" w14:textId="77777777" w:rsidR="00546B2E" w:rsidRPr="005B38F1" w:rsidRDefault="00546B2E" w:rsidP="00AB2342">
            <w:pPr>
              <w:rPr>
                <w:rFonts w:ascii="Tahoma" w:hAnsi="Tahoma" w:cs="Tahoma"/>
                <w:sz w:val="20"/>
                <w:szCs w:val="20"/>
              </w:rPr>
            </w:pPr>
            <w:r>
              <w:rPr>
                <w:rFonts w:ascii="Tahoma" w:hAnsi="Tahoma" w:cs="Tahoma"/>
                <w:sz w:val="20"/>
                <w:szCs w:val="20"/>
              </w:rPr>
              <w:t>Niagara Region</w:t>
            </w:r>
          </w:p>
        </w:tc>
        <w:tc>
          <w:tcPr>
            <w:tcW w:w="2731" w:type="dxa"/>
            <w:vAlign w:val="center"/>
          </w:tcPr>
          <w:p w14:paraId="65F27ED3" w14:textId="77777777" w:rsidR="00546B2E" w:rsidRPr="005B38F1" w:rsidRDefault="00546B2E" w:rsidP="00AB2342">
            <w:pPr>
              <w:rPr>
                <w:rFonts w:ascii="Tahoma" w:hAnsi="Tahoma" w:cs="Tahoma"/>
                <w:sz w:val="20"/>
                <w:szCs w:val="20"/>
              </w:rPr>
            </w:pPr>
            <w:r w:rsidRPr="4D7690C2">
              <w:rPr>
                <w:rFonts w:ascii="Tahoma" w:hAnsi="Tahoma" w:cs="Tahoma"/>
                <w:sz w:val="20"/>
                <w:szCs w:val="20"/>
              </w:rPr>
              <w:t>December 31, 2022</w:t>
            </w:r>
          </w:p>
        </w:tc>
      </w:tr>
      <w:tr w:rsidR="00546B2E" w14:paraId="549CB158" w14:textId="77777777" w:rsidTr="00AB2342">
        <w:trPr>
          <w:trHeight w:val="833"/>
        </w:trPr>
        <w:tc>
          <w:tcPr>
            <w:tcW w:w="2552" w:type="dxa"/>
            <w:shd w:val="clear" w:color="auto" w:fill="002060"/>
            <w:vAlign w:val="center"/>
          </w:tcPr>
          <w:p w14:paraId="2A960186" w14:textId="77777777" w:rsidR="00546B2E" w:rsidRPr="00EA4AA6" w:rsidRDefault="00546B2E" w:rsidP="00AB2342">
            <w:pPr>
              <w:rPr>
                <w:rFonts w:ascii="Tahoma" w:hAnsi="Tahoma" w:cs="Tahoma"/>
                <w:color w:val="FFFFFF" w:themeColor="background1"/>
                <w:sz w:val="20"/>
                <w:szCs w:val="20"/>
              </w:rPr>
            </w:pPr>
          </w:p>
        </w:tc>
        <w:tc>
          <w:tcPr>
            <w:tcW w:w="2394" w:type="dxa"/>
            <w:shd w:val="clear" w:color="auto" w:fill="002060"/>
            <w:vAlign w:val="center"/>
          </w:tcPr>
          <w:p w14:paraId="57C52993" w14:textId="77777777" w:rsidR="00546B2E" w:rsidRPr="00EA4AA6" w:rsidRDefault="00546B2E" w:rsidP="00AB2342">
            <w:pPr>
              <w:rPr>
                <w:rFonts w:ascii="Tahoma" w:hAnsi="Tahoma" w:cs="Tahoma"/>
                <w:color w:val="FFFFFF" w:themeColor="background1"/>
                <w:sz w:val="20"/>
                <w:szCs w:val="20"/>
              </w:rPr>
            </w:pPr>
            <w:r w:rsidRPr="00EA4AA6">
              <w:rPr>
                <w:rFonts w:ascii="Tahoma" w:hAnsi="Tahoma" w:cs="Tahoma"/>
                <w:color w:val="FFFFFF" w:themeColor="background1"/>
              </w:rPr>
              <w:t>P</w:t>
            </w:r>
            <w:r>
              <w:rPr>
                <w:rFonts w:ascii="Tahoma" w:hAnsi="Tahoma" w:cs="Tahoma"/>
                <w:color w:val="FFFFFF" w:themeColor="background1"/>
              </w:rPr>
              <w:t>ublic at large</w:t>
            </w:r>
          </w:p>
        </w:tc>
        <w:tc>
          <w:tcPr>
            <w:tcW w:w="2326" w:type="dxa"/>
            <w:shd w:val="clear" w:color="auto" w:fill="002060"/>
            <w:vAlign w:val="center"/>
          </w:tcPr>
          <w:p w14:paraId="41D8D993" w14:textId="77777777" w:rsidR="00546B2E" w:rsidRPr="00EA4AA6" w:rsidRDefault="00546B2E" w:rsidP="00AB2342">
            <w:pPr>
              <w:rPr>
                <w:rFonts w:ascii="Tahoma" w:hAnsi="Tahoma" w:cs="Tahoma"/>
                <w:color w:val="FFFFFF" w:themeColor="background1"/>
                <w:sz w:val="20"/>
                <w:szCs w:val="20"/>
              </w:rPr>
            </w:pPr>
          </w:p>
        </w:tc>
        <w:tc>
          <w:tcPr>
            <w:tcW w:w="2731" w:type="dxa"/>
            <w:shd w:val="clear" w:color="auto" w:fill="002060"/>
            <w:vAlign w:val="center"/>
          </w:tcPr>
          <w:p w14:paraId="371FA8D4" w14:textId="77777777" w:rsidR="00546B2E" w:rsidRPr="00EA4AA6" w:rsidRDefault="00546B2E" w:rsidP="00AB2342">
            <w:pPr>
              <w:rPr>
                <w:rFonts w:ascii="Tahoma" w:hAnsi="Tahoma" w:cs="Tahoma"/>
                <w:color w:val="FFFFFF" w:themeColor="background1"/>
                <w:sz w:val="20"/>
                <w:szCs w:val="20"/>
              </w:rPr>
            </w:pPr>
          </w:p>
        </w:tc>
      </w:tr>
      <w:tr w:rsidR="00546B2E" w14:paraId="58B1D8BA" w14:textId="77777777" w:rsidTr="00AB2342">
        <w:trPr>
          <w:trHeight w:val="556"/>
        </w:trPr>
        <w:tc>
          <w:tcPr>
            <w:tcW w:w="2552" w:type="dxa"/>
            <w:vAlign w:val="center"/>
          </w:tcPr>
          <w:p w14:paraId="1A4C5F21" w14:textId="77777777" w:rsidR="00546B2E" w:rsidRPr="005B38F1" w:rsidRDefault="00546B2E" w:rsidP="00AB2342">
            <w:pPr>
              <w:rPr>
                <w:rFonts w:ascii="Tahoma" w:hAnsi="Tahoma" w:cs="Tahoma"/>
                <w:sz w:val="20"/>
                <w:szCs w:val="20"/>
              </w:rPr>
            </w:pPr>
            <w:r w:rsidRPr="1C3688DF">
              <w:rPr>
                <w:rFonts w:ascii="Tahoma" w:hAnsi="Tahoma" w:cs="Tahoma"/>
                <w:sz w:val="20"/>
                <w:szCs w:val="20"/>
              </w:rPr>
              <w:t>Rob Nicholson</w:t>
            </w:r>
            <w:r>
              <w:rPr>
                <w:rFonts w:ascii="Tahoma" w:hAnsi="Tahoma" w:cs="Tahoma"/>
                <w:sz w:val="20"/>
                <w:szCs w:val="20"/>
              </w:rPr>
              <w:t xml:space="preserve"> (Chair)</w:t>
            </w:r>
          </w:p>
        </w:tc>
        <w:tc>
          <w:tcPr>
            <w:tcW w:w="2394" w:type="dxa"/>
            <w:vAlign w:val="center"/>
          </w:tcPr>
          <w:p w14:paraId="7EEA2683" w14:textId="77777777" w:rsidR="00546B2E" w:rsidRPr="005B38F1" w:rsidRDefault="00546B2E" w:rsidP="00AB2342">
            <w:pPr>
              <w:rPr>
                <w:rFonts w:ascii="Tahoma" w:hAnsi="Tahoma" w:cs="Tahoma"/>
                <w:sz w:val="20"/>
                <w:szCs w:val="20"/>
              </w:rPr>
            </w:pPr>
            <w:r>
              <w:rPr>
                <w:rFonts w:ascii="Tahoma" w:hAnsi="Tahoma" w:cs="Tahoma"/>
                <w:sz w:val="20"/>
                <w:szCs w:val="20"/>
              </w:rPr>
              <w:t>Public at Large</w:t>
            </w:r>
          </w:p>
        </w:tc>
        <w:tc>
          <w:tcPr>
            <w:tcW w:w="2326" w:type="dxa"/>
            <w:vAlign w:val="center"/>
          </w:tcPr>
          <w:p w14:paraId="77D47243" w14:textId="77777777" w:rsidR="00546B2E" w:rsidRPr="005B38F1" w:rsidRDefault="00546B2E" w:rsidP="00AB2342">
            <w:pPr>
              <w:rPr>
                <w:rFonts w:ascii="Tahoma" w:hAnsi="Tahoma" w:cs="Tahoma"/>
                <w:sz w:val="20"/>
                <w:szCs w:val="20"/>
              </w:rPr>
            </w:pPr>
            <w:r>
              <w:rPr>
                <w:rFonts w:ascii="Tahoma" w:hAnsi="Tahoma" w:cs="Tahoma"/>
                <w:sz w:val="20"/>
                <w:szCs w:val="20"/>
              </w:rPr>
              <w:t>N/A</w:t>
            </w:r>
          </w:p>
        </w:tc>
        <w:tc>
          <w:tcPr>
            <w:tcW w:w="2731" w:type="dxa"/>
            <w:vAlign w:val="center"/>
          </w:tcPr>
          <w:p w14:paraId="2C306C27" w14:textId="77777777" w:rsidR="00546B2E" w:rsidRPr="005B38F1" w:rsidRDefault="00546B2E" w:rsidP="00AB2342">
            <w:pPr>
              <w:rPr>
                <w:rFonts w:ascii="Tahoma" w:hAnsi="Tahoma" w:cs="Tahoma"/>
                <w:sz w:val="20"/>
                <w:szCs w:val="20"/>
              </w:rPr>
            </w:pPr>
            <w:r w:rsidRPr="4D7690C2">
              <w:rPr>
                <w:rFonts w:ascii="Tahoma" w:hAnsi="Tahoma" w:cs="Tahoma"/>
                <w:sz w:val="20"/>
                <w:szCs w:val="20"/>
              </w:rPr>
              <w:t>March 11, 2022</w:t>
            </w:r>
          </w:p>
        </w:tc>
      </w:tr>
      <w:tr w:rsidR="00546B2E" w14:paraId="1AC88B6E" w14:textId="77777777" w:rsidTr="00AB2342">
        <w:trPr>
          <w:trHeight w:val="556"/>
        </w:trPr>
        <w:tc>
          <w:tcPr>
            <w:tcW w:w="2552" w:type="dxa"/>
            <w:vAlign w:val="center"/>
          </w:tcPr>
          <w:p w14:paraId="39D43921" w14:textId="77777777" w:rsidR="00546B2E" w:rsidRPr="005B38F1" w:rsidRDefault="00546B2E" w:rsidP="00AB2342">
            <w:pPr>
              <w:rPr>
                <w:rFonts w:ascii="Tahoma" w:hAnsi="Tahoma" w:cs="Tahoma"/>
                <w:sz w:val="20"/>
                <w:szCs w:val="20"/>
              </w:rPr>
            </w:pPr>
            <w:r w:rsidRPr="4D7690C2">
              <w:rPr>
                <w:rFonts w:ascii="Tahoma" w:hAnsi="Tahoma" w:cs="Tahoma"/>
                <w:sz w:val="20"/>
                <w:szCs w:val="20"/>
              </w:rPr>
              <w:t>Michael Curley</w:t>
            </w:r>
          </w:p>
        </w:tc>
        <w:tc>
          <w:tcPr>
            <w:tcW w:w="2394" w:type="dxa"/>
            <w:vAlign w:val="center"/>
          </w:tcPr>
          <w:p w14:paraId="1DA06D80" w14:textId="77777777" w:rsidR="00546B2E" w:rsidRPr="005B38F1" w:rsidRDefault="00546B2E" w:rsidP="00AB2342">
            <w:pPr>
              <w:rPr>
                <w:rFonts w:ascii="Tahoma" w:hAnsi="Tahoma" w:cs="Tahoma"/>
                <w:sz w:val="20"/>
                <w:szCs w:val="20"/>
              </w:rPr>
            </w:pPr>
            <w:r>
              <w:rPr>
                <w:rFonts w:ascii="Tahoma" w:hAnsi="Tahoma" w:cs="Tahoma"/>
                <w:sz w:val="20"/>
                <w:szCs w:val="20"/>
              </w:rPr>
              <w:t>Public at Large</w:t>
            </w:r>
          </w:p>
        </w:tc>
        <w:tc>
          <w:tcPr>
            <w:tcW w:w="2326" w:type="dxa"/>
            <w:vAlign w:val="center"/>
          </w:tcPr>
          <w:p w14:paraId="2E95780E" w14:textId="77777777" w:rsidR="00546B2E" w:rsidRPr="005B38F1" w:rsidRDefault="00546B2E" w:rsidP="00AB2342">
            <w:pPr>
              <w:rPr>
                <w:rFonts w:ascii="Tahoma" w:hAnsi="Tahoma" w:cs="Tahoma"/>
                <w:sz w:val="20"/>
                <w:szCs w:val="20"/>
              </w:rPr>
            </w:pPr>
            <w:r>
              <w:rPr>
                <w:rFonts w:ascii="Tahoma" w:hAnsi="Tahoma" w:cs="Tahoma"/>
                <w:sz w:val="20"/>
                <w:szCs w:val="20"/>
              </w:rPr>
              <w:t>N/A</w:t>
            </w:r>
          </w:p>
        </w:tc>
        <w:tc>
          <w:tcPr>
            <w:tcW w:w="2731" w:type="dxa"/>
            <w:vAlign w:val="center"/>
          </w:tcPr>
          <w:p w14:paraId="372B7F89" w14:textId="77777777" w:rsidR="00546B2E" w:rsidRPr="005B38F1" w:rsidRDefault="00546B2E" w:rsidP="00AB2342">
            <w:pPr>
              <w:rPr>
                <w:rFonts w:ascii="Tahoma" w:hAnsi="Tahoma" w:cs="Tahoma"/>
                <w:sz w:val="20"/>
                <w:szCs w:val="20"/>
              </w:rPr>
            </w:pPr>
            <w:r w:rsidRPr="4D7690C2">
              <w:rPr>
                <w:rFonts w:ascii="Tahoma" w:hAnsi="Tahoma" w:cs="Tahoma"/>
                <w:sz w:val="20"/>
                <w:szCs w:val="20"/>
              </w:rPr>
              <w:t>October 31, 2021</w:t>
            </w:r>
          </w:p>
        </w:tc>
      </w:tr>
      <w:tr w:rsidR="00546B2E" w14:paraId="64C311E9" w14:textId="77777777" w:rsidTr="00AB2342">
        <w:trPr>
          <w:trHeight w:val="556"/>
        </w:trPr>
        <w:tc>
          <w:tcPr>
            <w:tcW w:w="2552" w:type="dxa"/>
            <w:vAlign w:val="center"/>
          </w:tcPr>
          <w:p w14:paraId="1A99BA94" w14:textId="77777777" w:rsidR="00546B2E" w:rsidRPr="005B38F1" w:rsidRDefault="00546B2E" w:rsidP="00AB2342">
            <w:pPr>
              <w:rPr>
                <w:rFonts w:ascii="Tahoma" w:hAnsi="Tahoma" w:cs="Tahoma"/>
                <w:sz w:val="20"/>
                <w:szCs w:val="20"/>
              </w:rPr>
            </w:pPr>
            <w:proofErr w:type="spellStart"/>
            <w:r>
              <w:rPr>
                <w:rFonts w:ascii="Tahoma" w:hAnsi="Tahoma" w:cs="Tahoma"/>
                <w:sz w:val="20"/>
                <w:szCs w:val="20"/>
              </w:rPr>
              <w:t>Gord</w:t>
            </w:r>
            <w:proofErr w:type="spellEnd"/>
            <w:r>
              <w:rPr>
                <w:rFonts w:ascii="Tahoma" w:hAnsi="Tahoma" w:cs="Tahoma"/>
                <w:sz w:val="20"/>
                <w:szCs w:val="20"/>
              </w:rPr>
              <w:t xml:space="preserve"> </w:t>
            </w:r>
            <w:proofErr w:type="spellStart"/>
            <w:r>
              <w:rPr>
                <w:rFonts w:ascii="Tahoma" w:hAnsi="Tahoma" w:cs="Tahoma"/>
                <w:sz w:val="20"/>
                <w:szCs w:val="20"/>
              </w:rPr>
              <w:t>Driedger</w:t>
            </w:r>
            <w:proofErr w:type="spellEnd"/>
          </w:p>
        </w:tc>
        <w:tc>
          <w:tcPr>
            <w:tcW w:w="2394" w:type="dxa"/>
            <w:vAlign w:val="center"/>
          </w:tcPr>
          <w:p w14:paraId="16977B69" w14:textId="77777777" w:rsidR="00546B2E" w:rsidRPr="005B38F1" w:rsidRDefault="00546B2E" w:rsidP="00AB2342">
            <w:pPr>
              <w:rPr>
                <w:rFonts w:ascii="Tahoma" w:hAnsi="Tahoma" w:cs="Tahoma"/>
                <w:sz w:val="20"/>
                <w:szCs w:val="20"/>
              </w:rPr>
            </w:pPr>
            <w:r>
              <w:rPr>
                <w:rFonts w:ascii="Tahoma" w:hAnsi="Tahoma" w:cs="Tahoma"/>
                <w:sz w:val="20"/>
                <w:szCs w:val="20"/>
              </w:rPr>
              <w:t>Public at Large</w:t>
            </w:r>
          </w:p>
        </w:tc>
        <w:tc>
          <w:tcPr>
            <w:tcW w:w="2326" w:type="dxa"/>
            <w:vAlign w:val="center"/>
          </w:tcPr>
          <w:p w14:paraId="4C663519" w14:textId="77777777" w:rsidR="00546B2E" w:rsidRPr="005B38F1" w:rsidRDefault="00546B2E" w:rsidP="00AB2342">
            <w:pPr>
              <w:rPr>
                <w:rFonts w:ascii="Tahoma" w:hAnsi="Tahoma" w:cs="Tahoma"/>
                <w:sz w:val="20"/>
                <w:szCs w:val="20"/>
              </w:rPr>
            </w:pPr>
            <w:r>
              <w:rPr>
                <w:rFonts w:ascii="Tahoma" w:hAnsi="Tahoma" w:cs="Tahoma"/>
                <w:sz w:val="20"/>
                <w:szCs w:val="20"/>
              </w:rPr>
              <w:t>N/A</w:t>
            </w:r>
          </w:p>
        </w:tc>
        <w:tc>
          <w:tcPr>
            <w:tcW w:w="2731" w:type="dxa"/>
            <w:vAlign w:val="center"/>
          </w:tcPr>
          <w:p w14:paraId="080FE4A4" w14:textId="77777777" w:rsidR="00546B2E" w:rsidRPr="005B38F1" w:rsidRDefault="00546B2E" w:rsidP="00AB2342">
            <w:pPr>
              <w:rPr>
                <w:rFonts w:ascii="Tahoma" w:hAnsi="Tahoma" w:cs="Tahoma"/>
                <w:sz w:val="20"/>
                <w:szCs w:val="20"/>
              </w:rPr>
            </w:pPr>
            <w:r>
              <w:rPr>
                <w:rFonts w:ascii="Tahoma" w:hAnsi="Tahoma" w:cs="Tahoma"/>
                <w:sz w:val="20"/>
                <w:szCs w:val="20"/>
              </w:rPr>
              <w:t>April 23, 2022</w:t>
            </w:r>
          </w:p>
        </w:tc>
      </w:tr>
      <w:tr w:rsidR="00546B2E" w14:paraId="5EA26661" w14:textId="77777777" w:rsidTr="00AB2342">
        <w:trPr>
          <w:trHeight w:val="556"/>
        </w:trPr>
        <w:tc>
          <w:tcPr>
            <w:tcW w:w="2552" w:type="dxa"/>
            <w:vAlign w:val="center"/>
          </w:tcPr>
          <w:p w14:paraId="2A93098A" w14:textId="77777777" w:rsidR="00546B2E" w:rsidRPr="005B38F1" w:rsidRDefault="00546B2E" w:rsidP="00AB2342">
            <w:pPr>
              <w:rPr>
                <w:rFonts w:ascii="Tahoma" w:hAnsi="Tahoma" w:cs="Tahoma"/>
                <w:sz w:val="20"/>
                <w:szCs w:val="20"/>
              </w:rPr>
            </w:pPr>
            <w:r>
              <w:rPr>
                <w:rFonts w:ascii="Tahoma" w:hAnsi="Tahoma" w:cs="Tahoma"/>
                <w:sz w:val="20"/>
                <w:szCs w:val="20"/>
              </w:rPr>
              <w:t>Ron Gibson</w:t>
            </w:r>
          </w:p>
        </w:tc>
        <w:tc>
          <w:tcPr>
            <w:tcW w:w="2394" w:type="dxa"/>
            <w:vAlign w:val="center"/>
          </w:tcPr>
          <w:p w14:paraId="65E1AA34" w14:textId="77777777" w:rsidR="00546B2E" w:rsidRPr="005B38F1" w:rsidRDefault="00546B2E" w:rsidP="00AB2342">
            <w:pPr>
              <w:rPr>
                <w:rFonts w:ascii="Tahoma" w:hAnsi="Tahoma" w:cs="Tahoma"/>
                <w:sz w:val="20"/>
                <w:szCs w:val="20"/>
              </w:rPr>
            </w:pPr>
            <w:r>
              <w:rPr>
                <w:rFonts w:ascii="Tahoma" w:hAnsi="Tahoma" w:cs="Tahoma"/>
                <w:sz w:val="20"/>
                <w:szCs w:val="20"/>
              </w:rPr>
              <w:t>Public at Large</w:t>
            </w:r>
          </w:p>
        </w:tc>
        <w:tc>
          <w:tcPr>
            <w:tcW w:w="2326" w:type="dxa"/>
            <w:vAlign w:val="center"/>
          </w:tcPr>
          <w:p w14:paraId="1D4B7A23" w14:textId="77777777" w:rsidR="00546B2E" w:rsidRPr="005B38F1" w:rsidRDefault="00546B2E" w:rsidP="00AB2342">
            <w:pPr>
              <w:rPr>
                <w:rFonts w:ascii="Tahoma" w:hAnsi="Tahoma" w:cs="Tahoma"/>
                <w:sz w:val="20"/>
                <w:szCs w:val="20"/>
              </w:rPr>
            </w:pPr>
            <w:r>
              <w:rPr>
                <w:rFonts w:ascii="Tahoma" w:hAnsi="Tahoma" w:cs="Tahoma"/>
                <w:sz w:val="20"/>
                <w:szCs w:val="20"/>
              </w:rPr>
              <w:t>N/A</w:t>
            </w:r>
          </w:p>
        </w:tc>
        <w:tc>
          <w:tcPr>
            <w:tcW w:w="2731" w:type="dxa"/>
            <w:vAlign w:val="center"/>
          </w:tcPr>
          <w:p w14:paraId="7399641B" w14:textId="77777777" w:rsidR="00546B2E" w:rsidRPr="005B38F1" w:rsidRDefault="00546B2E" w:rsidP="00AB2342">
            <w:pPr>
              <w:rPr>
                <w:rFonts w:ascii="Tahoma" w:hAnsi="Tahoma" w:cs="Tahoma"/>
                <w:sz w:val="20"/>
                <w:szCs w:val="20"/>
              </w:rPr>
            </w:pPr>
            <w:r>
              <w:rPr>
                <w:rFonts w:ascii="Tahoma" w:hAnsi="Tahoma" w:cs="Tahoma"/>
                <w:sz w:val="20"/>
                <w:szCs w:val="20"/>
              </w:rPr>
              <w:t>July 1, 2022</w:t>
            </w:r>
          </w:p>
        </w:tc>
      </w:tr>
      <w:tr w:rsidR="00546B2E" w14:paraId="472F42D4" w14:textId="77777777" w:rsidTr="00AB2342">
        <w:trPr>
          <w:trHeight w:val="556"/>
        </w:trPr>
        <w:tc>
          <w:tcPr>
            <w:tcW w:w="2552" w:type="dxa"/>
            <w:vAlign w:val="center"/>
          </w:tcPr>
          <w:p w14:paraId="173E79C6" w14:textId="77777777" w:rsidR="00546B2E" w:rsidRDefault="00546B2E" w:rsidP="00AB2342">
            <w:pPr>
              <w:rPr>
                <w:rFonts w:ascii="Tahoma" w:hAnsi="Tahoma" w:cs="Tahoma"/>
                <w:sz w:val="20"/>
                <w:szCs w:val="20"/>
              </w:rPr>
            </w:pPr>
            <w:r>
              <w:rPr>
                <w:rFonts w:ascii="Tahoma" w:hAnsi="Tahoma" w:cs="Tahoma"/>
                <w:sz w:val="20"/>
                <w:szCs w:val="20"/>
              </w:rPr>
              <w:t>David Hutcheon</w:t>
            </w:r>
          </w:p>
        </w:tc>
        <w:tc>
          <w:tcPr>
            <w:tcW w:w="2394" w:type="dxa"/>
            <w:vAlign w:val="center"/>
          </w:tcPr>
          <w:p w14:paraId="52D24EEF" w14:textId="77777777" w:rsidR="00546B2E" w:rsidRDefault="00546B2E" w:rsidP="00AB2342">
            <w:pPr>
              <w:rPr>
                <w:rFonts w:ascii="Tahoma" w:hAnsi="Tahoma" w:cs="Tahoma"/>
                <w:sz w:val="20"/>
                <w:szCs w:val="20"/>
              </w:rPr>
            </w:pPr>
            <w:r>
              <w:rPr>
                <w:rFonts w:ascii="Tahoma" w:hAnsi="Tahoma" w:cs="Tahoma"/>
                <w:sz w:val="20"/>
                <w:szCs w:val="20"/>
              </w:rPr>
              <w:t>Public at Large</w:t>
            </w:r>
          </w:p>
        </w:tc>
        <w:tc>
          <w:tcPr>
            <w:tcW w:w="2326" w:type="dxa"/>
            <w:vAlign w:val="center"/>
          </w:tcPr>
          <w:p w14:paraId="692B14E4" w14:textId="77777777" w:rsidR="00546B2E" w:rsidRDefault="00546B2E" w:rsidP="00AB2342">
            <w:pPr>
              <w:rPr>
                <w:rFonts w:ascii="Tahoma" w:hAnsi="Tahoma" w:cs="Tahoma"/>
                <w:sz w:val="20"/>
                <w:szCs w:val="20"/>
              </w:rPr>
            </w:pPr>
            <w:r>
              <w:rPr>
                <w:rFonts w:ascii="Tahoma" w:hAnsi="Tahoma" w:cs="Tahoma"/>
                <w:sz w:val="20"/>
                <w:szCs w:val="20"/>
              </w:rPr>
              <w:t>N/A</w:t>
            </w:r>
          </w:p>
        </w:tc>
        <w:tc>
          <w:tcPr>
            <w:tcW w:w="2731" w:type="dxa"/>
            <w:vAlign w:val="center"/>
          </w:tcPr>
          <w:p w14:paraId="34CD6883" w14:textId="77777777" w:rsidR="00546B2E" w:rsidRPr="005B38F1" w:rsidRDefault="00546B2E" w:rsidP="00AB2342">
            <w:pPr>
              <w:rPr>
                <w:rFonts w:ascii="Tahoma" w:hAnsi="Tahoma" w:cs="Tahoma"/>
                <w:sz w:val="20"/>
                <w:szCs w:val="20"/>
              </w:rPr>
            </w:pPr>
            <w:r>
              <w:rPr>
                <w:rFonts w:ascii="Tahoma" w:hAnsi="Tahoma" w:cs="Tahoma"/>
                <w:sz w:val="20"/>
                <w:szCs w:val="20"/>
              </w:rPr>
              <w:t>April 23, 2022</w:t>
            </w:r>
          </w:p>
        </w:tc>
      </w:tr>
      <w:tr w:rsidR="00546B2E" w14:paraId="677A7C7A" w14:textId="77777777" w:rsidTr="00AB2342">
        <w:trPr>
          <w:trHeight w:val="556"/>
        </w:trPr>
        <w:tc>
          <w:tcPr>
            <w:tcW w:w="2552" w:type="dxa"/>
            <w:vAlign w:val="center"/>
          </w:tcPr>
          <w:p w14:paraId="7B23A5AA" w14:textId="77777777" w:rsidR="00546B2E" w:rsidRPr="005B38F1" w:rsidRDefault="00546B2E" w:rsidP="00AB2342">
            <w:pPr>
              <w:rPr>
                <w:rFonts w:ascii="Tahoma" w:hAnsi="Tahoma" w:cs="Tahoma"/>
                <w:sz w:val="20"/>
                <w:szCs w:val="20"/>
              </w:rPr>
            </w:pPr>
            <w:r>
              <w:rPr>
                <w:rFonts w:ascii="Tahoma" w:hAnsi="Tahoma" w:cs="Tahoma"/>
                <w:sz w:val="20"/>
                <w:szCs w:val="20"/>
              </w:rPr>
              <w:t>Ken Lucyshyn</w:t>
            </w:r>
          </w:p>
        </w:tc>
        <w:tc>
          <w:tcPr>
            <w:tcW w:w="2394" w:type="dxa"/>
            <w:vAlign w:val="center"/>
          </w:tcPr>
          <w:p w14:paraId="2197651E" w14:textId="77777777" w:rsidR="00546B2E" w:rsidRDefault="00546B2E" w:rsidP="00AB2342">
            <w:pPr>
              <w:rPr>
                <w:rFonts w:ascii="Tahoma" w:hAnsi="Tahoma" w:cs="Tahoma"/>
                <w:sz w:val="20"/>
                <w:szCs w:val="20"/>
              </w:rPr>
            </w:pPr>
            <w:r>
              <w:rPr>
                <w:rFonts w:ascii="Tahoma" w:hAnsi="Tahoma" w:cs="Tahoma"/>
                <w:sz w:val="20"/>
                <w:szCs w:val="20"/>
              </w:rPr>
              <w:t>Public at Large</w:t>
            </w:r>
          </w:p>
        </w:tc>
        <w:tc>
          <w:tcPr>
            <w:tcW w:w="2326" w:type="dxa"/>
            <w:vAlign w:val="center"/>
          </w:tcPr>
          <w:p w14:paraId="480EFB34" w14:textId="77777777" w:rsidR="00546B2E" w:rsidRPr="005B38F1" w:rsidRDefault="00546B2E" w:rsidP="00AB2342">
            <w:pPr>
              <w:rPr>
                <w:rFonts w:ascii="Tahoma" w:hAnsi="Tahoma" w:cs="Tahoma"/>
                <w:sz w:val="20"/>
                <w:szCs w:val="20"/>
              </w:rPr>
            </w:pPr>
            <w:r>
              <w:rPr>
                <w:rFonts w:ascii="Tahoma" w:hAnsi="Tahoma" w:cs="Tahoma"/>
                <w:sz w:val="20"/>
                <w:szCs w:val="20"/>
              </w:rPr>
              <w:t>N/A</w:t>
            </w:r>
          </w:p>
        </w:tc>
        <w:tc>
          <w:tcPr>
            <w:tcW w:w="2731" w:type="dxa"/>
            <w:vAlign w:val="center"/>
          </w:tcPr>
          <w:p w14:paraId="01C7C26D" w14:textId="77777777" w:rsidR="00546B2E" w:rsidRPr="005B38F1" w:rsidRDefault="00546B2E" w:rsidP="00AB2342">
            <w:pPr>
              <w:rPr>
                <w:rFonts w:ascii="Tahoma" w:hAnsi="Tahoma" w:cs="Tahoma"/>
                <w:sz w:val="20"/>
                <w:szCs w:val="20"/>
              </w:rPr>
            </w:pPr>
            <w:r>
              <w:rPr>
                <w:rFonts w:ascii="Tahoma" w:hAnsi="Tahoma" w:cs="Tahoma"/>
                <w:sz w:val="20"/>
                <w:szCs w:val="20"/>
              </w:rPr>
              <w:t>April 23, 2022</w:t>
            </w:r>
          </w:p>
        </w:tc>
      </w:tr>
      <w:tr w:rsidR="00546B2E" w14:paraId="1D507014" w14:textId="77777777" w:rsidTr="00AB2342">
        <w:trPr>
          <w:trHeight w:val="556"/>
        </w:trPr>
        <w:tc>
          <w:tcPr>
            <w:tcW w:w="2552" w:type="dxa"/>
            <w:vAlign w:val="center"/>
          </w:tcPr>
          <w:p w14:paraId="61064CF5" w14:textId="77777777" w:rsidR="00546B2E" w:rsidRPr="02706F64" w:rsidRDefault="00546B2E" w:rsidP="00AB2342">
            <w:pPr>
              <w:rPr>
                <w:rFonts w:ascii="Tahoma" w:hAnsi="Tahoma" w:cs="Tahoma"/>
                <w:sz w:val="20"/>
                <w:szCs w:val="20"/>
              </w:rPr>
            </w:pPr>
            <w:r>
              <w:rPr>
                <w:rFonts w:ascii="Tahoma" w:hAnsi="Tahoma" w:cs="Tahoma"/>
                <w:sz w:val="20"/>
                <w:szCs w:val="20"/>
              </w:rPr>
              <w:t>Bruce Mackenzie</w:t>
            </w:r>
          </w:p>
        </w:tc>
        <w:tc>
          <w:tcPr>
            <w:tcW w:w="2394" w:type="dxa"/>
            <w:vAlign w:val="center"/>
          </w:tcPr>
          <w:p w14:paraId="49C32E6B" w14:textId="77777777" w:rsidR="00546B2E" w:rsidRPr="02706F64" w:rsidRDefault="00546B2E" w:rsidP="00AB2342">
            <w:pPr>
              <w:rPr>
                <w:rFonts w:ascii="Tahoma" w:hAnsi="Tahoma" w:cs="Tahoma"/>
                <w:sz w:val="20"/>
                <w:szCs w:val="20"/>
              </w:rPr>
            </w:pPr>
            <w:r>
              <w:rPr>
                <w:rFonts w:ascii="Tahoma" w:hAnsi="Tahoma" w:cs="Tahoma"/>
                <w:sz w:val="20"/>
                <w:szCs w:val="20"/>
              </w:rPr>
              <w:t>Public at Large</w:t>
            </w:r>
          </w:p>
        </w:tc>
        <w:tc>
          <w:tcPr>
            <w:tcW w:w="2326" w:type="dxa"/>
            <w:vAlign w:val="center"/>
          </w:tcPr>
          <w:p w14:paraId="5FD8896C" w14:textId="77777777" w:rsidR="00546B2E" w:rsidRPr="02706F64" w:rsidRDefault="00546B2E" w:rsidP="00AB2342">
            <w:pPr>
              <w:rPr>
                <w:rFonts w:ascii="Tahoma" w:hAnsi="Tahoma" w:cs="Tahoma"/>
                <w:sz w:val="20"/>
                <w:szCs w:val="20"/>
              </w:rPr>
            </w:pPr>
            <w:r>
              <w:rPr>
                <w:rFonts w:ascii="Tahoma" w:hAnsi="Tahoma" w:cs="Tahoma"/>
                <w:sz w:val="20"/>
                <w:szCs w:val="20"/>
              </w:rPr>
              <w:t>N/A</w:t>
            </w:r>
          </w:p>
        </w:tc>
        <w:tc>
          <w:tcPr>
            <w:tcW w:w="2731" w:type="dxa"/>
            <w:vAlign w:val="center"/>
          </w:tcPr>
          <w:p w14:paraId="111CEA2D" w14:textId="77777777" w:rsidR="00546B2E" w:rsidRDefault="00546B2E" w:rsidP="00AB2342">
            <w:pPr>
              <w:rPr>
                <w:rFonts w:ascii="Tahoma" w:hAnsi="Tahoma" w:cs="Tahoma"/>
                <w:sz w:val="20"/>
                <w:szCs w:val="20"/>
              </w:rPr>
            </w:pPr>
            <w:r>
              <w:rPr>
                <w:rFonts w:ascii="Tahoma" w:hAnsi="Tahoma" w:cs="Tahoma"/>
                <w:sz w:val="20"/>
                <w:szCs w:val="20"/>
              </w:rPr>
              <w:t>April 8, 2023</w:t>
            </w:r>
          </w:p>
        </w:tc>
      </w:tr>
      <w:tr w:rsidR="00546B2E" w14:paraId="3E571219" w14:textId="77777777" w:rsidTr="00AB2342">
        <w:trPr>
          <w:trHeight w:val="556"/>
        </w:trPr>
        <w:tc>
          <w:tcPr>
            <w:tcW w:w="2552" w:type="dxa"/>
            <w:vAlign w:val="center"/>
          </w:tcPr>
          <w:p w14:paraId="31E87DCB" w14:textId="77777777" w:rsidR="00546B2E" w:rsidRDefault="00546B2E" w:rsidP="00AB2342">
            <w:pPr>
              <w:rPr>
                <w:rFonts w:ascii="Tahoma" w:hAnsi="Tahoma" w:cs="Tahoma"/>
                <w:sz w:val="20"/>
                <w:szCs w:val="20"/>
              </w:rPr>
            </w:pPr>
            <w:r>
              <w:rPr>
                <w:rFonts w:ascii="Tahoma" w:hAnsi="Tahoma" w:cs="Tahoma"/>
                <w:sz w:val="20"/>
                <w:szCs w:val="20"/>
              </w:rPr>
              <w:t>Duncan McKinlay</w:t>
            </w:r>
          </w:p>
        </w:tc>
        <w:tc>
          <w:tcPr>
            <w:tcW w:w="2394" w:type="dxa"/>
            <w:vAlign w:val="center"/>
          </w:tcPr>
          <w:p w14:paraId="3F2E9602" w14:textId="77777777" w:rsidR="00546B2E" w:rsidRDefault="00546B2E" w:rsidP="00AB2342">
            <w:pPr>
              <w:rPr>
                <w:rFonts w:ascii="Tahoma" w:hAnsi="Tahoma" w:cs="Tahoma"/>
                <w:sz w:val="20"/>
                <w:szCs w:val="20"/>
              </w:rPr>
            </w:pPr>
            <w:r>
              <w:rPr>
                <w:rFonts w:ascii="Tahoma" w:hAnsi="Tahoma" w:cs="Tahoma"/>
                <w:sz w:val="20"/>
                <w:szCs w:val="20"/>
              </w:rPr>
              <w:t>Public at Large</w:t>
            </w:r>
          </w:p>
        </w:tc>
        <w:tc>
          <w:tcPr>
            <w:tcW w:w="2326" w:type="dxa"/>
            <w:vAlign w:val="center"/>
          </w:tcPr>
          <w:p w14:paraId="793DAC94" w14:textId="77777777" w:rsidR="00546B2E" w:rsidRDefault="00546B2E" w:rsidP="00AB2342">
            <w:pPr>
              <w:rPr>
                <w:rFonts w:ascii="Tahoma" w:hAnsi="Tahoma" w:cs="Tahoma"/>
                <w:sz w:val="20"/>
                <w:szCs w:val="20"/>
              </w:rPr>
            </w:pPr>
            <w:r>
              <w:rPr>
                <w:rFonts w:ascii="Tahoma" w:hAnsi="Tahoma" w:cs="Tahoma"/>
                <w:sz w:val="20"/>
                <w:szCs w:val="20"/>
              </w:rPr>
              <w:t>N/A</w:t>
            </w:r>
          </w:p>
        </w:tc>
        <w:tc>
          <w:tcPr>
            <w:tcW w:w="2731" w:type="dxa"/>
            <w:vAlign w:val="center"/>
          </w:tcPr>
          <w:p w14:paraId="4E12B282" w14:textId="77777777" w:rsidR="00546B2E" w:rsidRDefault="00546B2E" w:rsidP="00AB2342">
            <w:pPr>
              <w:rPr>
                <w:rFonts w:ascii="Tahoma" w:hAnsi="Tahoma" w:cs="Tahoma"/>
                <w:sz w:val="20"/>
                <w:szCs w:val="20"/>
              </w:rPr>
            </w:pPr>
            <w:r w:rsidRPr="4D7690C2">
              <w:rPr>
                <w:rFonts w:ascii="Tahoma" w:hAnsi="Tahoma" w:cs="Tahoma"/>
                <w:sz w:val="20"/>
                <w:szCs w:val="20"/>
              </w:rPr>
              <w:t>September 12</w:t>
            </w:r>
            <w:r>
              <w:rPr>
                <w:rFonts w:ascii="Tahoma" w:hAnsi="Tahoma" w:cs="Tahoma"/>
                <w:sz w:val="20"/>
                <w:szCs w:val="20"/>
              </w:rPr>
              <w:t>,</w:t>
            </w:r>
            <w:r w:rsidRPr="4D7690C2">
              <w:rPr>
                <w:rFonts w:ascii="Tahoma" w:hAnsi="Tahoma" w:cs="Tahoma"/>
                <w:sz w:val="20"/>
                <w:szCs w:val="20"/>
              </w:rPr>
              <w:t xml:space="preserve"> 2022</w:t>
            </w:r>
          </w:p>
        </w:tc>
      </w:tr>
      <w:tr w:rsidR="00546B2E" w14:paraId="7B3AF5FA" w14:textId="77777777" w:rsidTr="00AB2342">
        <w:trPr>
          <w:trHeight w:val="556"/>
        </w:trPr>
        <w:tc>
          <w:tcPr>
            <w:tcW w:w="2552" w:type="dxa"/>
            <w:vAlign w:val="center"/>
          </w:tcPr>
          <w:p w14:paraId="2D5E2000" w14:textId="77777777" w:rsidR="00546B2E" w:rsidRPr="7103A268" w:rsidRDefault="00546B2E" w:rsidP="00AB2342">
            <w:pPr>
              <w:rPr>
                <w:rFonts w:ascii="Tahoma" w:hAnsi="Tahoma" w:cs="Tahoma"/>
                <w:sz w:val="20"/>
                <w:szCs w:val="20"/>
              </w:rPr>
            </w:pPr>
            <w:r>
              <w:rPr>
                <w:rFonts w:ascii="Tahoma" w:hAnsi="Tahoma" w:cs="Tahoma"/>
                <w:sz w:val="20"/>
                <w:szCs w:val="20"/>
              </w:rPr>
              <w:t>Jennifer Vida</w:t>
            </w:r>
          </w:p>
        </w:tc>
        <w:tc>
          <w:tcPr>
            <w:tcW w:w="2394" w:type="dxa"/>
            <w:vAlign w:val="center"/>
          </w:tcPr>
          <w:p w14:paraId="0EFE6E74" w14:textId="77777777" w:rsidR="00546B2E" w:rsidRPr="7103A268" w:rsidRDefault="00546B2E" w:rsidP="00AB2342">
            <w:pPr>
              <w:rPr>
                <w:rFonts w:ascii="Tahoma" w:hAnsi="Tahoma" w:cs="Tahoma"/>
                <w:sz w:val="20"/>
                <w:szCs w:val="20"/>
              </w:rPr>
            </w:pPr>
            <w:r>
              <w:rPr>
                <w:rFonts w:ascii="Tahoma" w:hAnsi="Tahoma" w:cs="Tahoma"/>
                <w:sz w:val="20"/>
                <w:szCs w:val="20"/>
              </w:rPr>
              <w:t>Public at Large</w:t>
            </w:r>
          </w:p>
        </w:tc>
        <w:tc>
          <w:tcPr>
            <w:tcW w:w="2326" w:type="dxa"/>
            <w:vAlign w:val="center"/>
          </w:tcPr>
          <w:p w14:paraId="51E0126F" w14:textId="77777777" w:rsidR="00546B2E" w:rsidRPr="1FCE8010" w:rsidRDefault="00546B2E" w:rsidP="00AB2342">
            <w:pPr>
              <w:rPr>
                <w:rFonts w:ascii="Tahoma" w:hAnsi="Tahoma" w:cs="Tahoma"/>
                <w:sz w:val="20"/>
                <w:szCs w:val="20"/>
              </w:rPr>
            </w:pPr>
            <w:r>
              <w:rPr>
                <w:rFonts w:ascii="Tahoma" w:hAnsi="Tahoma" w:cs="Tahoma"/>
                <w:sz w:val="20"/>
                <w:szCs w:val="20"/>
              </w:rPr>
              <w:t>N/A</w:t>
            </w:r>
          </w:p>
        </w:tc>
        <w:tc>
          <w:tcPr>
            <w:tcW w:w="2731" w:type="dxa"/>
            <w:vAlign w:val="center"/>
          </w:tcPr>
          <w:p w14:paraId="1C30124E" w14:textId="77777777" w:rsidR="00546B2E" w:rsidRDefault="00546B2E" w:rsidP="00AB2342">
            <w:pPr>
              <w:rPr>
                <w:rFonts w:ascii="Tahoma" w:hAnsi="Tahoma" w:cs="Tahoma"/>
                <w:sz w:val="20"/>
                <w:szCs w:val="20"/>
              </w:rPr>
            </w:pPr>
            <w:r>
              <w:rPr>
                <w:rFonts w:ascii="Tahoma" w:hAnsi="Tahoma" w:cs="Tahoma"/>
                <w:sz w:val="20"/>
                <w:szCs w:val="20"/>
              </w:rPr>
              <w:t>January 13, 2023</w:t>
            </w:r>
          </w:p>
        </w:tc>
      </w:tr>
    </w:tbl>
    <w:p w14:paraId="1FFB6824" w14:textId="77777777" w:rsidR="00546B2E" w:rsidRPr="00F85186" w:rsidRDefault="00546B2E" w:rsidP="00546B2E"/>
    <w:p w14:paraId="73D6623B" w14:textId="77777777" w:rsidR="007A66E9" w:rsidRDefault="004B4485" w:rsidP="009719D3">
      <w:pPr>
        <w:pStyle w:val="Heading2"/>
      </w:pPr>
      <w:bookmarkStart w:id="88" w:name="_Toc44333635"/>
      <w:bookmarkStart w:id="89" w:name="_Toc74895921"/>
      <w:r>
        <w:lastRenderedPageBreak/>
        <w:t>Appendix 2: Niagara Escarpment Plan Map</w:t>
      </w:r>
      <w:bookmarkEnd w:id="88"/>
      <w:bookmarkEnd w:id="89"/>
    </w:p>
    <w:p w14:paraId="42EAAFF4" w14:textId="241C7C39" w:rsidR="004B4485" w:rsidRDefault="00DF5CEA" w:rsidP="007A66E9">
      <w:r>
        <w:rPr>
          <w:noProof/>
        </w:rPr>
        <w:drawing>
          <wp:inline distT="0" distB="0" distL="0" distR="0" wp14:anchorId="4D89A658" wp14:editId="34BF62D3">
            <wp:extent cx="5454368" cy="7191376"/>
            <wp:effectExtent l="0" t="0" r="0" b="0"/>
            <wp:docPr id="12" name="image62.jpeg" descr="This is an image of the Niagara Escarpment Plan map depicting NEP area and Planning Area boundary lines.  " title="Niagara Escarpment Plan Ma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2.jpeg"/>
                    <pic:cNvPicPr/>
                  </pic:nvPicPr>
                  <pic:blipFill>
                    <a:blip r:embed="rId27">
                      <a:extLst>
                        <a:ext uri="{28A0092B-C50C-407E-A947-70E740481C1C}">
                          <a14:useLocalDpi xmlns:a14="http://schemas.microsoft.com/office/drawing/2010/main" val="0"/>
                        </a:ext>
                      </a:extLst>
                    </a:blip>
                    <a:stretch>
                      <a:fillRect/>
                    </a:stretch>
                  </pic:blipFill>
                  <pic:spPr>
                    <a:xfrm>
                      <a:off x="0" y="0"/>
                      <a:ext cx="5454368" cy="7191376"/>
                    </a:xfrm>
                    <a:prstGeom prst="rect">
                      <a:avLst/>
                    </a:prstGeom>
                  </pic:spPr>
                </pic:pic>
              </a:graphicData>
            </a:graphic>
          </wp:inline>
        </w:drawing>
      </w:r>
    </w:p>
    <w:p w14:paraId="695BDF75" w14:textId="0950222B" w:rsidR="00546B2E" w:rsidRDefault="00546B2E" w:rsidP="00A064B5"/>
    <w:p w14:paraId="71668078" w14:textId="623B8E15" w:rsidR="00A064B5" w:rsidRDefault="00A064B5" w:rsidP="00A064B5"/>
    <w:p w14:paraId="045B7B93" w14:textId="77777777" w:rsidR="00A064B5" w:rsidRPr="00C65268" w:rsidRDefault="00A064B5" w:rsidP="00A064B5">
      <w:pPr>
        <w:contextualSpacing/>
        <w:jc w:val="both"/>
        <w:rPr>
          <w:rFonts w:cstheme="minorHAnsi"/>
        </w:rPr>
      </w:pPr>
    </w:p>
    <w:p w14:paraId="3326B770" w14:textId="77777777" w:rsidR="00411AD9" w:rsidRDefault="00411AD9" w:rsidP="00EF7452">
      <w:pPr>
        <w:pStyle w:val="Heading2"/>
      </w:pPr>
      <w:bookmarkStart w:id="90" w:name="_Toc44333636"/>
      <w:bookmarkStart w:id="91" w:name="_Toc74895922"/>
      <w:bookmarkEnd w:id="46"/>
      <w:r>
        <w:t>Appendix 3: Municipalities in the NEP Area</w:t>
      </w:r>
      <w:bookmarkEnd w:id="90"/>
      <w:bookmarkEnd w:id="91"/>
    </w:p>
    <w:p w14:paraId="6F580CD1" w14:textId="77777777" w:rsidR="00411AD9" w:rsidRDefault="00411AD9" w:rsidP="00411AD9">
      <w:pPr>
        <w:pStyle w:val="Heading2"/>
      </w:pPr>
      <w:bookmarkStart w:id="92" w:name="_Toc12440809"/>
      <w:bookmarkStart w:id="93" w:name="_Toc44333637"/>
      <w:bookmarkStart w:id="94" w:name="_Toc74895923"/>
      <w:r>
        <w:t>Region of Niagara</w:t>
      </w:r>
      <w:bookmarkEnd w:id="92"/>
      <w:bookmarkEnd w:id="93"/>
      <w:bookmarkEnd w:id="94"/>
    </w:p>
    <w:p w14:paraId="1FF0928F" w14:textId="77777777" w:rsidR="00411AD9" w:rsidRDefault="00411AD9" w:rsidP="0003039F">
      <w:pPr>
        <w:pStyle w:val="NoSpacing"/>
        <w:spacing w:line="276" w:lineRule="auto"/>
      </w:pPr>
      <w:r>
        <w:t>Seven local municipalities:</w:t>
      </w:r>
    </w:p>
    <w:p w14:paraId="6B332953" w14:textId="77777777" w:rsidR="00411AD9" w:rsidRDefault="00411AD9" w:rsidP="0003039F">
      <w:pPr>
        <w:pStyle w:val="NoSpacing"/>
        <w:numPr>
          <w:ilvl w:val="0"/>
          <w:numId w:val="4"/>
        </w:numPr>
        <w:spacing w:line="276" w:lineRule="auto"/>
      </w:pPr>
      <w:r>
        <w:t xml:space="preserve">Town of Grimsby </w:t>
      </w:r>
    </w:p>
    <w:p w14:paraId="24C549E5" w14:textId="77777777" w:rsidR="00411AD9" w:rsidRDefault="00411AD9" w:rsidP="0003039F">
      <w:pPr>
        <w:pStyle w:val="NoSpacing"/>
        <w:numPr>
          <w:ilvl w:val="0"/>
          <w:numId w:val="4"/>
        </w:numPr>
        <w:spacing w:line="276" w:lineRule="auto"/>
      </w:pPr>
      <w:r>
        <w:t>Town of Lincoln</w:t>
      </w:r>
    </w:p>
    <w:p w14:paraId="3FB089AB" w14:textId="77777777" w:rsidR="00411AD9" w:rsidRDefault="00411AD9" w:rsidP="0003039F">
      <w:pPr>
        <w:pStyle w:val="NoSpacing"/>
        <w:numPr>
          <w:ilvl w:val="0"/>
          <w:numId w:val="4"/>
        </w:numPr>
        <w:spacing w:line="276" w:lineRule="auto"/>
      </w:pPr>
      <w:r>
        <w:t>City of Niagara Falls</w:t>
      </w:r>
    </w:p>
    <w:p w14:paraId="729E36CA" w14:textId="77777777" w:rsidR="00411AD9" w:rsidRDefault="00411AD9" w:rsidP="0003039F">
      <w:pPr>
        <w:pStyle w:val="NoSpacing"/>
        <w:numPr>
          <w:ilvl w:val="0"/>
          <w:numId w:val="4"/>
        </w:numPr>
        <w:spacing w:line="276" w:lineRule="auto"/>
      </w:pPr>
      <w:r>
        <w:t xml:space="preserve">Town of Niagara-On-The-Lake </w:t>
      </w:r>
    </w:p>
    <w:p w14:paraId="3AA8E323" w14:textId="77777777" w:rsidR="00411AD9" w:rsidRDefault="00411AD9" w:rsidP="0003039F">
      <w:pPr>
        <w:pStyle w:val="NoSpacing"/>
        <w:numPr>
          <w:ilvl w:val="0"/>
          <w:numId w:val="4"/>
        </w:numPr>
        <w:spacing w:line="276" w:lineRule="auto"/>
      </w:pPr>
      <w:r>
        <w:t>Town of Pelham</w:t>
      </w:r>
    </w:p>
    <w:p w14:paraId="7C1E8403" w14:textId="77777777" w:rsidR="00411AD9" w:rsidRDefault="00411AD9" w:rsidP="0003039F">
      <w:pPr>
        <w:pStyle w:val="NoSpacing"/>
        <w:numPr>
          <w:ilvl w:val="0"/>
          <w:numId w:val="4"/>
        </w:numPr>
        <w:spacing w:line="276" w:lineRule="auto"/>
      </w:pPr>
      <w:r>
        <w:t xml:space="preserve">City of St Catharines </w:t>
      </w:r>
    </w:p>
    <w:p w14:paraId="39BB602D" w14:textId="77777777" w:rsidR="00411AD9" w:rsidRDefault="00411AD9" w:rsidP="0003039F">
      <w:pPr>
        <w:pStyle w:val="NoSpacing"/>
        <w:numPr>
          <w:ilvl w:val="0"/>
          <w:numId w:val="4"/>
        </w:numPr>
        <w:spacing w:line="276" w:lineRule="auto"/>
      </w:pPr>
      <w:r>
        <w:t>City of Thorold</w:t>
      </w:r>
    </w:p>
    <w:p w14:paraId="64656634" w14:textId="77777777" w:rsidR="00411AD9" w:rsidRDefault="00411AD9" w:rsidP="0003039F">
      <w:pPr>
        <w:pStyle w:val="NoSpacing"/>
        <w:spacing w:line="276" w:lineRule="auto"/>
        <w:ind w:left="720"/>
      </w:pPr>
    </w:p>
    <w:p w14:paraId="210EBA26" w14:textId="77777777" w:rsidR="00411AD9" w:rsidRDefault="00411AD9" w:rsidP="0003039F">
      <w:pPr>
        <w:pStyle w:val="NoSpacing"/>
        <w:spacing w:line="276" w:lineRule="auto"/>
      </w:pPr>
      <w:bookmarkStart w:id="95" w:name="_Toc12440810"/>
      <w:bookmarkStart w:id="96" w:name="_Toc44333638"/>
      <w:bookmarkStart w:id="97" w:name="_Toc74895924"/>
      <w:r w:rsidRPr="00131A69">
        <w:rPr>
          <w:rStyle w:val="Heading2Char"/>
        </w:rPr>
        <w:t>City of Hamilton</w:t>
      </w:r>
      <w:bookmarkEnd w:id="95"/>
      <w:bookmarkEnd w:id="96"/>
      <w:bookmarkEnd w:id="97"/>
      <w:r>
        <w:t xml:space="preserve"> </w:t>
      </w:r>
    </w:p>
    <w:p w14:paraId="4D0814CD" w14:textId="77777777" w:rsidR="00411AD9" w:rsidRDefault="00411AD9" w:rsidP="0003039F">
      <w:pPr>
        <w:pStyle w:val="Heading2"/>
      </w:pPr>
      <w:bookmarkStart w:id="98" w:name="_Toc12440811"/>
      <w:bookmarkStart w:id="99" w:name="_Toc44333639"/>
      <w:bookmarkStart w:id="100" w:name="_Toc74895925"/>
      <w:r>
        <w:t>Region of Halton</w:t>
      </w:r>
      <w:bookmarkEnd w:id="98"/>
      <w:bookmarkEnd w:id="99"/>
      <w:bookmarkEnd w:id="100"/>
    </w:p>
    <w:p w14:paraId="4A12E3E0" w14:textId="77777777" w:rsidR="00411AD9" w:rsidRDefault="00411AD9" w:rsidP="0003039F">
      <w:pPr>
        <w:pStyle w:val="NoSpacing"/>
        <w:spacing w:line="276" w:lineRule="auto"/>
      </w:pPr>
      <w:r>
        <w:t xml:space="preserve">Three local municipalities: </w:t>
      </w:r>
    </w:p>
    <w:p w14:paraId="51BCD553" w14:textId="77777777" w:rsidR="00411AD9" w:rsidRDefault="00411AD9" w:rsidP="0003039F">
      <w:pPr>
        <w:pStyle w:val="NoSpacing"/>
        <w:numPr>
          <w:ilvl w:val="0"/>
          <w:numId w:val="29"/>
        </w:numPr>
        <w:spacing w:line="276" w:lineRule="auto"/>
      </w:pPr>
      <w:r>
        <w:t xml:space="preserve">Town of Halton Hills </w:t>
      </w:r>
    </w:p>
    <w:p w14:paraId="5450BFE5" w14:textId="77777777" w:rsidR="00411AD9" w:rsidRDefault="00411AD9" w:rsidP="0003039F">
      <w:pPr>
        <w:pStyle w:val="NoSpacing"/>
        <w:numPr>
          <w:ilvl w:val="0"/>
          <w:numId w:val="29"/>
        </w:numPr>
        <w:spacing w:line="276" w:lineRule="auto"/>
      </w:pPr>
      <w:r>
        <w:t>Town of Milton</w:t>
      </w:r>
    </w:p>
    <w:p w14:paraId="38DE9FDD" w14:textId="77777777" w:rsidR="00411AD9" w:rsidRDefault="00411AD9" w:rsidP="0003039F">
      <w:pPr>
        <w:pStyle w:val="NoSpacing"/>
        <w:numPr>
          <w:ilvl w:val="0"/>
          <w:numId w:val="29"/>
        </w:numPr>
        <w:spacing w:line="276" w:lineRule="auto"/>
      </w:pPr>
      <w:r>
        <w:t>City of Burlington</w:t>
      </w:r>
    </w:p>
    <w:p w14:paraId="4FA7BBCC" w14:textId="77777777" w:rsidR="00411AD9" w:rsidRDefault="00411AD9" w:rsidP="0003039F">
      <w:pPr>
        <w:pStyle w:val="Heading2"/>
      </w:pPr>
      <w:bookmarkStart w:id="101" w:name="_Toc12440812"/>
      <w:bookmarkStart w:id="102" w:name="_Toc44333640"/>
      <w:bookmarkStart w:id="103" w:name="_Toc74895926"/>
      <w:r>
        <w:t>Region of Peel</w:t>
      </w:r>
      <w:bookmarkEnd w:id="101"/>
      <w:bookmarkEnd w:id="102"/>
      <w:bookmarkEnd w:id="103"/>
    </w:p>
    <w:p w14:paraId="70DC6B21" w14:textId="77777777" w:rsidR="00411AD9" w:rsidRDefault="00411AD9" w:rsidP="0003039F">
      <w:pPr>
        <w:pStyle w:val="NoSpacing"/>
        <w:spacing w:line="276" w:lineRule="auto"/>
      </w:pPr>
      <w:r>
        <w:t>One local municipality:</w:t>
      </w:r>
    </w:p>
    <w:p w14:paraId="5306D204" w14:textId="77777777" w:rsidR="00411AD9" w:rsidRDefault="00411AD9" w:rsidP="0003039F">
      <w:pPr>
        <w:pStyle w:val="NoSpacing"/>
        <w:numPr>
          <w:ilvl w:val="0"/>
          <w:numId w:val="30"/>
        </w:numPr>
        <w:spacing w:line="276" w:lineRule="auto"/>
      </w:pPr>
      <w:r>
        <w:t>Town of Caledon</w:t>
      </w:r>
    </w:p>
    <w:p w14:paraId="47B3B533" w14:textId="77777777" w:rsidR="00411AD9" w:rsidRDefault="00411AD9" w:rsidP="0003039F">
      <w:pPr>
        <w:pStyle w:val="Heading2"/>
      </w:pPr>
      <w:bookmarkStart w:id="104" w:name="_Toc12440813"/>
      <w:bookmarkStart w:id="105" w:name="_Toc44333641"/>
      <w:bookmarkStart w:id="106" w:name="_Toc74895927"/>
      <w:r>
        <w:t>County of Bruce</w:t>
      </w:r>
      <w:bookmarkEnd w:id="104"/>
      <w:bookmarkEnd w:id="105"/>
      <w:bookmarkEnd w:id="106"/>
    </w:p>
    <w:p w14:paraId="543B45E2" w14:textId="77777777" w:rsidR="00411AD9" w:rsidRDefault="00411AD9" w:rsidP="0003039F">
      <w:pPr>
        <w:pStyle w:val="NoSpacing"/>
        <w:spacing w:line="276" w:lineRule="auto"/>
      </w:pPr>
      <w:r>
        <w:t>Two local municipalities:</w:t>
      </w:r>
    </w:p>
    <w:p w14:paraId="00F4DF93" w14:textId="77777777" w:rsidR="00411AD9" w:rsidRDefault="00411AD9" w:rsidP="0003039F">
      <w:pPr>
        <w:pStyle w:val="NoSpacing"/>
        <w:numPr>
          <w:ilvl w:val="0"/>
          <w:numId w:val="30"/>
        </w:numPr>
        <w:spacing w:line="276" w:lineRule="auto"/>
      </w:pPr>
      <w:r>
        <w:t xml:space="preserve">Town of South Bruce Peninsula   </w:t>
      </w:r>
    </w:p>
    <w:p w14:paraId="4D31B02A" w14:textId="77777777" w:rsidR="00411AD9" w:rsidRDefault="00411AD9" w:rsidP="0003039F">
      <w:pPr>
        <w:pStyle w:val="NoSpacing"/>
        <w:numPr>
          <w:ilvl w:val="0"/>
          <w:numId w:val="30"/>
        </w:numPr>
        <w:spacing w:line="276" w:lineRule="auto"/>
      </w:pPr>
      <w:r>
        <w:t>Municipality of Northern Bruce Peninsula</w:t>
      </w:r>
    </w:p>
    <w:p w14:paraId="06402A15" w14:textId="77777777" w:rsidR="00411AD9" w:rsidRDefault="00411AD9" w:rsidP="0003039F">
      <w:pPr>
        <w:pStyle w:val="Heading2"/>
      </w:pPr>
      <w:bookmarkStart w:id="107" w:name="_Toc12440814"/>
      <w:bookmarkStart w:id="108" w:name="_Toc44333642"/>
      <w:bookmarkStart w:id="109" w:name="_Toc74895928"/>
      <w:r>
        <w:t>County of Dufferin</w:t>
      </w:r>
      <w:bookmarkEnd w:id="107"/>
      <w:bookmarkEnd w:id="108"/>
      <w:bookmarkEnd w:id="109"/>
    </w:p>
    <w:p w14:paraId="669B1901" w14:textId="77777777" w:rsidR="00411AD9" w:rsidRDefault="00411AD9" w:rsidP="0003039F">
      <w:pPr>
        <w:pStyle w:val="NoSpacing"/>
        <w:spacing w:line="276" w:lineRule="auto"/>
      </w:pPr>
      <w:r>
        <w:t xml:space="preserve">Three local municipalities: </w:t>
      </w:r>
    </w:p>
    <w:p w14:paraId="671B3019" w14:textId="77777777" w:rsidR="00411AD9" w:rsidRDefault="00411AD9" w:rsidP="0003039F">
      <w:pPr>
        <w:pStyle w:val="NoSpacing"/>
        <w:numPr>
          <w:ilvl w:val="0"/>
          <w:numId w:val="31"/>
        </w:numPr>
        <w:spacing w:line="276" w:lineRule="auto"/>
      </w:pPr>
      <w:r>
        <w:t xml:space="preserve">Town of Mono </w:t>
      </w:r>
    </w:p>
    <w:p w14:paraId="19112F23" w14:textId="77777777" w:rsidR="00411AD9" w:rsidRDefault="00411AD9" w:rsidP="0003039F">
      <w:pPr>
        <w:pStyle w:val="NoSpacing"/>
        <w:numPr>
          <w:ilvl w:val="0"/>
          <w:numId w:val="31"/>
        </w:numPr>
        <w:spacing w:line="276" w:lineRule="auto"/>
      </w:pPr>
      <w:r>
        <w:t xml:space="preserve">Township of </w:t>
      </w:r>
      <w:proofErr w:type="spellStart"/>
      <w:r>
        <w:t>Mulmur</w:t>
      </w:r>
      <w:proofErr w:type="spellEnd"/>
    </w:p>
    <w:p w14:paraId="434A1573" w14:textId="77777777" w:rsidR="00411AD9" w:rsidRDefault="00411AD9" w:rsidP="0003039F">
      <w:pPr>
        <w:pStyle w:val="NoSpacing"/>
        <w:numPr>
          <w:ilvl w:val="0"/>
          <w:numId w:val="31"/>
        </w:numPr>
        <w:spacing w:line="276" w:lineRule="auto"/>
      </w:pPr>
      <w:r>
        <w:t>Township of Melanchthon</w:t>
      </w:r>
    </w:p>
    <w:p w14:paraId="0C25BE6A" w14:textId="77777777" w:rsidR="00411AD9" w:rsidRDefault="00411AD9" w:rsidP="0003039F">
      <w:pPr>
        <w:pStyle w:val="Heading2"/>
      </w:pPr>
      <w:bookmarkStart w:id="110" w:name="_Toc12440815"/>
      <w:bookmarkStart w:id="111" w:name="_Toc44333643"/>
      <w:bookmarkStart w:id="112" w:name="_Toc74895929"/>
      <w:r>
        <w:t>County of Grey</w:t>
      </w:r>
      <w:bookmarkEnd w:id="110"/>
      <w:bookmarkEnd w:id="111"/>
      <w:bookmarkEnd w:id="112"/>
    </w:p>
    <w:p w14:paraId="1F068F9F" w14:textId="77777777" w:rsidR="00411AD9" w:rsidRDefault="00411AD9" w:rsidP="0003039F">
      <w:pPr>
        <w:pStyle w:val="NoSpacing"/>
        <w:spacing w:line="276" w:lineRule="auto"/>
      </w:pPr>
      <w:r>
        <w:t>Six local municipalities:</w:t>
      </w:r>
    </w:p>
    <w:p w14:paraId="59C0998E" w14:textId="77777777" w:rsidR="00411AD9" w:rsidRDefault="00411AD9" w:rsidP="0003039F">
      <w:pPr>
        <w:pStyle w:val="NoSpacing"/>
        <w:numPr>
          <w:ilvl w:val="0"/>
          <w:numId w:val="32"/>
        </w:numPr>
        <w:spacing w:line="276" w:lineRule="auto"/>
      </w:pPr>
      <w:r>
        <w:t xml:space="preserve">Township of Chatsworth </w:t>
      </w:r>
    </w:p>
    <w:p w14:paraId="4CCFD1C6" w14:textId="77777777" w:rsidR="00411AD9" w:rsidRDefault="00411AD9" w:rsidP="0003039F">
      <w:pPr>
        <w:pStyle w:val="NoSpacing"/>
        <w:numPr>
          <w:ilvl w:val="0"/>
          <w:numId w:val="32"/>
        </w:numPr>
        <w:spacing w:line="276" w:lineRule="auto"/>
      </w:pPr>
      <w:r>
        <w:lastRenderedPageBreak/>
        <w:t xml:space="preserve">Municipality of Grey Highlands </w:t>
      </w:r>
    </w:p>
    <w:p w14:paraId="5BAF7610" w14:textId="77777777" w:rsidR="00411AD9" w:rsidRDefault="00411AD9" w:rsidP="0003039F">
      <w:pPr>
        <w:pStyle w:val="NoSpacing"/>
        <w:numPr>
          <w:ilvl w:val="0"/>
          <w:numId w:val="32"/>
        </w:numPr>
        <w:spacing w:line="276" w:lineRule="auto"/>
      </w:pPr>
      <w:r>
        <w:t xml:space="preserve">Municipality of </w:t>
      </w:r>
      <w:proofErr w:type="spellStart"/>
      <w:r>
        <w:t>Meaford</w:t>
      </w:r>
      <w:proofErr w:type="spellEnd"/>
    </w:p>
    <w:p w14:paraId="75513B8C" w14:textId="77777777" w:rsidR="00411AD9" w:rsidRDefault="00411AD9" w:rsidP="0003039F">
      <w:pPr>
        <w:pStyle w:val="NoSpacing"/>
        <w:numPr>
          <w:ilvl w:val="0"/>
          <w:numId w:val="32"/>
        </w:numPr>
        <w:spacing w:line="276" w:lineRule="auto"/>
      </w:pPr>
      <w:r>
        <w:t xml:space="preserve">City of Owen Sound </w:t>
      </w:r>
    </w:p>
    <w:p w14:paraId="48664DBD" w14:textId="77777777" w:rsidR="00411AD9" w:rsidRDefault="00411AD9" w:rsidP="0003039F">
      <w:pPr>
        <w:pStyle w:val="NoSpacing"/>
        <w:numPr>
          <w:ilvl w:val="0"/>
          <w:numId w:val="32"/>
        </w:numPr>
        <w:spacing w:line="276" w:lineRule="auto"/>
      </w:pPr>
      <w:r>
        <w:t xml:space="preserve">Township of Georgian Bluffs </w:t>
      </w:r>
    </w:p>
    <w:p w14:paraId="17C12A72" w14:textId="77777777" w:rsidR="00411AD9" w:rsidRDefault="00411AD9" w:rsidP="0003039F">
      <w:pPr>
        <w:pStyle w:val="NoSpacing"/>
        <w:numPr>
          <w:ilvl w:val="0"/>
          <w:numId w:val="32"/>
        </w:numPr>
        <w:spacing w:line="276" w:lineRule="auto"/>
      </w:pPr>
      <w:r>
        <w:t xml:space="preserve">Town of The Blue Mountains </w:t>
      </w:r>
    </w:p>
    <w:p w14:paraId="688628A2" w14:textId="77777777" w:rsidR="00411AD9" w:rsidRDefault="00411AD9" w:rsidP="0003039F">
      <w:pPr>
        <w:pStyle w:val="Heading2"/>
      </w:pPr>
      <w:bookmarkStart w:id="113" w:name="_Toc12440816"/>
      <w:bookmarkStart w:id="114" w:name="_Toc44333644"/>
      <w:bookmarkStart w:id="115" w:name="_Toc74895930"/>
      <w:r>
        <w:t>County of Simcoe</w:t>
      </w:r>
      <w:bookmarkEnd w:id="113"/>
      <w:bookmarkEnd w:id="114"/>
      <w:bookmarkEnd w:id="115"/>
    </w:p>
    <w:p w14:paraId="7DD1CB27" w14:textId="77777777" w:rsidR="00411AD9" w:rsidRDefault="00411AD9" w:rsidP="0003039F">
      <w:pPr>
        <w:pStyle w:val="NoSpacing"/>
        <w:spacing w:line="276" w:lineRule="auto"/>
      </w:pPr>
      <w:r>
        <w:t>One local municipality:</w:t>
      </w:r>
    </w:p>
    <w:p w14:paraId="746BA47B" w14:textId="77777777" w:rsidR="00411AD9" w:rsidRPr="001B3FF7" w:rsidRDefault="00411AD9" w:rsidP="0003039F">
      <w:pPr>
        <w:pStyle w:val="NoSpacing"/>
        <w:widowControl w:val="0"/>
        <w:numPr>
          <w:ilvl w:val="0"/>
          <w:numId w:val="33"/>
        </w:numPr>
        <w:spacing w:line="276" w:lineRule="auto"/>
        <w:ind w:left="110"/>
        <w:rPr>
          <w:w w:val="107"/>
        </w:rPr>
      </w:pPr>
      <w:r>
        <w:t>Township of Clearview</w:t>
      </w:r>
    </w:p>
    <w:p w14:paraId="44A0732B" w14:textId="77777777" w:rsidR="00A064B5" w:rsidRDefault="00A064B5" w:rsidP="00A064B5">
      <w:pPr>
        <w:rPr>
          <w:highlight w:val="yellow"/>
        </w:rPr>
      </w:pPr>
    </w:p>
    <w:p w14:paraId="5A6F1E5F" w14:textId="77777777" w:rsidR="00A064B5" w:rsidRDefault="00A064B5" w:rsidP="00A064B5"/>
    <w:p w14:paraId="73ED15F9" w14:textId="77777777" w:rsidR="00A064B5" w:rsidRDefault="00A064B5" w:rsidP="00A064B5"/>
    <w:p w14:paraId="6970EE23" w14:textId="77777777" w:rsidR="00A064B5" w:rsidRPr="00F85186" w:rsidRDefault="00A064B5" w:rsidP="00A064B5"/>
    <w:p w14:paraId="150BEC28" w14:textId="77777777" w:rsidR="00C863C8" w:rsidRPr="0015378A" w:rsidRDefault="00C863C8" w:rsidP="00C863C8">
      <w:pPr>
        <w:pStyle w:val="NoSpacing"/>
        <w:jc w:val="both"/>
      </w:pPr>
    </w:p>
    <w:p w14:paraId="2234A165" w14:textId="77777777" w:rsidR="006C7526" w:rsidRPr="00F85186" w:rsidRDefault="006C7526" w:rsidP="00F61F85"/>
    <w:sectPr w:rsidR="006C7526" w:rsidRPr="00F85186" w:rsidSect="006939E1">
      <w:headerReference w:type="even" r:id="rId28"/>
      <w:headerReference w:type="default" r:id="rId29"/>
      <w:footerReference w:type="even" r:id="rId30"/>
      <w:footerReference w:type="default" r:id="rId31"/>
      <w:headerReference w:type="first" r:id="rId32"/>
      <w:footerReference w:type="first" r:id="rId33"/>
      <w:pgSz w:w="12240" w:h="15840"/>
      <w:pgMar w:top="1134"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AE91E" w14:textId="77777777" w:rsidR="00803A4B" w:rsidRDefault="00803A4B" w:rsidP="00F72078">
      <w:pPr>
        <w:spacing w:after="0" w:line="240" w:lineRule="auto"/>
      </w:pPr>
      <w:r>
        <w:separator/>
      </w:r>
    </w:p>
  </w:endnote>
  <w:endnote w:type="continuationSeparator" w:id="0">
    <w:p w14:paraId="6E227F5D" w14:textId="77777777" w:rsidR="00803A4B" w:rsidRDefault="00803A4B"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Helvetica">
    <w:panose1 w:val="020B0604020202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23532" w14:textId="77777777" w:rsidR="00803A4B" w:rsidRDefault="00803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794008"/>
      <w:docPartObj>
        <w:docPartGallery w:val="Page Numbers (Bottom of Page)"/>
        <w:docPartUnique/>
      </w:docPartObj>
    </w:sdtPr>
    <w:sdtEndPr>
      <w:rPr>
        <w:noProof/>
      </w:rPr>
    </w:sdtEndPr>
    <w:sdtContent>
      <w:p w14:paraId="62A43108" w14:textId="414B2D3A" w:rsidR="00803A4B" w:rsidRDefault="00803A4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8DBF47" w14:textId="77777777" w:rsidR="00803A4B" w:rsidRDefault="00803A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2E725" w14:textId="77777777" w:rsidR="00803A4B" w:rsidRDefault="00803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62CE7" w14:textId="77777777" w:rsidR="00803A4B" w:rsidRDefault="00803A4B" w:rsidP="00F72078">
      <w:pPr>
        <w:spacing w:after="0" w:line="240" w:lineRule="auto"/>
      </w:pPr>
      <w:r>
        <w:separator/>
      </w:r>
    </w:p>
  </w:footnote>
  <w:footnote w:type="continuationSeparator" w:id="0">
    <w:p w14:paraId="768F9760" w14:textId="77777777" w:rsidR="00803A4B" w:rsidRDefault="00803A4B" w:rsidP="00F72078">
      <w:pPr>
        <w:spacing w:after="0" w:line="240" w:lineRule="auto"/>
      </w:pPr>
      <w:r>
        <w:continuationSeparator/>
      </w:r>
    </w:p>
  </w:footnote>
  <w:footnote w:id="1">
    <w:p w14:paraId="525BC07C" w14:textId="0C2DA615" w:rsidR="00803A4B" w:rsidRPr="00D65ACD" w:rsidRDefault="00803A4B" w:rsidP="00A064B5">
      <w:pPr>
        <w:pStyle w:val="FootnoteText"/>
        <w:rPr>
          <w:lang w:val="en-US"/>
        </w:rPr>
      </w:pPr>
      <w:r>
        <w:rPr>
          <w:rStyle w:val="FootnoteReference"/>
        </w:rPr>
        <w:footnoteRef/>
      </w:r>
      <w:r>
        <w:t xml:space="preserve"> </w:t>
      </w:r>
      <w:r>
        <w:rPr>
          <w:lang w:val="en-US"/>
        </w:rPr>
        <w:t>LEAN approach refers to reviewing programs and operations to optimize processes.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2A4B6" w14:textId="77777777" w:rsidR="00803A4B" w:rsidRDefault="00803A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C1CAA" w14:textId="77777777" w:rsidR="00803A4B" w:rsidRDefault="00803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CC5F0" w14:textId="77777777" w:rsidR="00803A4B" w:rsidRDefault="00803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B0131"/>
    <w:multiLevelType w:val="hybridMultilevel"/>
    <w:tmpl w:val="AB6601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CC629A"/>
    <w:multiLevelType w:val="hybridMultilevel"/>
    <w:tmpl w:val="E3281F5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BB42A23"/>
    <w:multiLevelType w:val="hybridMultilevel"/>
    <w:tmpl w:val="9D3A63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0BD93B07"/>
    <w:multiLevelType w:val="hybridMultilevel"/>
    <w:tmpl w:val="938036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9D0015B"/>
    <w:multiLevelType w:val="hybridMultilevel"/>
    <w:tmpl w:val="3DE016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A44371"/>
    <w:multiLevelType w:val="hybridMultilevel"/>
    <w:tmpl w:val="77124F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B0B21AC"/>
    <w:multiLevelType w:val="hybridMultilevel"/>
    <w:tmpl w:val="FD26427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1B234BB9"/>
    <w:multiLevelType w:val="hybridMultilevel"/>
    <w:tmpl w:val="804099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EE3D52"/>
    <w:multiLevelType w:val="hybridMultilevel"/>
    <w:tmpl w:val="4254209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261A59ED"/>
    <w:multiLevelType w:val="hybridMultilevel"/>
    <w:tmpl w:val="F68E69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26E13B0A"/>
    <w:multiLevelType w:val="hybridMultilevel"/>
    <w:tmpl w:val="118C9030"/>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284D56E2"/>
    <w:multiLevelType w:val="hybridMultilevel"/>
    <w:tmpl w:val="C68437D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D7403D0"/>
    <w:multiLevelType w:val="hybridMultilevel"/>
    <w:tmpl w:val="C80CF1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0E44F04"/>
    <w:multiLevelType w:val="hybridMultilevel"/>
    <w:tmpl w:val="157237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25C29E4"/>
    <w:multiLevelType w:val="hybridMultilevel"/>
    <w:tmpl w:val="849824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AA333D1"/>
    <w:multiLevelType w:val="hybridMultilevel"/>
    <w:tmpl w:val="E7C403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B1E2D6F"/>
    <w:multiLevelType w:val="hybridMultilevel"/>
    <w:tmpl w:val="D4F205F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EE2341A"/>
    <w:multiLevelType w:val="hybridMultilevel"/>
    <w:tmpl w:val="A676A9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4867FD0"/>
    <w:multiLevelType w:val="hybridMultilevel"/>
    <w:tmpl w:val="FBB296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8BC12F5"/>
    <w:multiLevelType w:val="hybridMultilevel"/>
    <w:tmpl w:val="F766B0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9DD6BF8"/>
    <w:multiLevelType w:val="hybridMultilevel"/>
    <w:tmpl w:val="ECBA36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AA02E97"/>
    <w:multiLevelType w:val="hybridMultilevel"/>
    <w:tmpl w:val="30D6F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4DC36941"/>
    <w:multiLevelType w:val="hybridMultilevel"/>
    <w:tmpl w:val="BD2E0FD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0C00B69"/>
    <w:multiLevelType w:val="hybridMultilevel"/>
    <w:tmpl w:val="F89883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4045B03"/>
    <w:multiLevelType w:val="hybridMultilevel"/>
    <w:tmpl w:val="7D3E4C80"/>
    <w:lvl w:ilvl="0" w:tplc="E8B85F26">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78B28DD"/>
    <w:multiLevelType w:val="hybridMultilevel"/>
    <w:tmpl w:val="A56A4D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C935072"/>
    <w:multiLevelType w:val="hybridMultilevel"/>
    <w:tmpl w:val="4F6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D8F0B44"/>
    <w:multiLevelType w:val="hybridMultilevel"/>
    <w:tmpl w:val="6C2897D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639A6A03"/>
    <w:multiLevelType w:val="hybridMultilevel"/>
    <w:tmpl w:val="B5A4D428"/>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A575495"/>
    <w:multiLevelType w:val="hybridMultilevel"/>
    <w:tmpl w:val="49BC1F0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D7A2AC1"/>
    <w:multiLevelType w:val="hybridMultilevel"/>
    <w:tmpl w:val="83E46A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FCF30B5"/>
    <w:multiLevelType w:val="hybridMultilevel"/>
    <w:tmpl w:val="CFACA3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63C3625"/>
    <w:multiLevelType w:val="hybridMultilevel"/>
    <w:tmpl w:val="ECCA8B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F93094F"/>
    <w:multiLevelType w:val="hybridMultilevel"/>
    <w:tmpl w:val="B3A66B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7"/>
  </w:num>
  <w:num w:numId="2">
    <w:abstractNumId w:val="23"/>
  </w:num>
  <w:num w:numId="3">
    <w:abstractNumId w:val="27"/>
  </w:num>
  <w:num w:numId="4">
    <w:abstractNumId w:val="16"/>
  </w:num>
  <w:num w:numId="5">
    <w:abstractNumId w:val="22"/>
  </w:num>
  <w:num w:numId="6">
    <w:abstractNumId w:val="5"/>
  </w:num>
  <w:num w:numId="7">
    <w:abstractNumId w:val="10"/>
  </w:num>
  <w:num w:numId="8">
    <w:abstractNumId w:val="26"/>
  </w:num>
  <w:num w:numId="9">
    <w:abstractNumId w:val="24"/>
  </w:num>
  <w:num w:numId="10">
    <w:abstractNumId w:val="28"/>
  </w:num>
  <w:num w:numId="11">
    <w:abstractNumId w:val="33"/>
  </w:num>
  <w:num w:numId="12">
    <w:abstractNumId w:val="1"/>
  </w:num>
  <w:num w:numId="13">
    <w:abstractNumId w:val="8"/>
  </w:num>
  <w:num w:numId="14">
    <w:abstractNumId w:val="9"/>
  </w:num>
  <w:num w:numId="15">
    <w:abstractNumId w:val="6"/>
  </w:num>
  <w:num w:numId="16">
    <w:abstractNumId w:val="4"/>
  </w:num>
  <w:num w:numId="17">
    <w:abstractNumId w:val="13"/>
  </w:num>
  <w:num w:numId="18">
    <w:abstractNumId w:val="20"/>
  </w:num>
  <w:num w:numId="19">
    <w:abstractNumId w:val="29"/>
  </w:num>
  <w:num w:numId="20">
    <w:abstractNumId w:val="18"/>
  </w:num>
  <w:num w:numId="21">
    <w:abstractNumId w:val="30"/>
  </w:num>
  <w:num w:numId="22">
    <w:abstractNumId w:val="32"/>
  </w:num>
  <w:num w:numId="23">
    <w:abstractNumId w:val="14"/>
  </w:num>
  <w:num w:numId="24">
    <w:abstractNumId w:val="3"/>
  </w:num>
  <w:num w:numId="25">
    <w:abstractNumId w:val="17"/>
  </w:num>
  <w:num w:numId="26">
    <w:abstractNumId w:val="31"/>
  </w:num>
  <w:num w:numId="27">
    <w:abstractNumId w:val="11"/>
  </w:num>
  <w:num w:numId="28">
    <w:abstractNumId w:val="2"/>
  </w:num>
  <w:num w:numId="29">
    <w:abstractNumId w:val="0"/>
  </w:num>
  <w:num w:numId="30">
    <w:abstractNumId w:val="15"/>
  </w:num>
  <w:num w:numId="31">
    <w:abstractNumId w:val="21"/>
  </w:num>
  <w:num w:numId="32">
    <w:abstractNumId w:val="25"/>
  </w:num>
  <w:num w:numId="33">
    <w:abstractNumId w:val="12"/>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8F7"/>
    <w:rsid w:val="000047E6"/>
    <w:rsid w:val="000072D9"/>
    <w:rsid w:val="00014BE2"/>
    <w:rsid w:val="0002391B"/>
    <w:rsid w:val="00025467"/>
    <w:rsid w:val="0003039F"/>
    <w:rsid w:val="000451E1"/>
    <w:rsid w:val="000515B5"/>
    <w:rsid w:val="00052B00"/>
    <w:rsid w:val="00060DC6"/>
    <w:rsid w:val="00067FC0"/>
    <w:rsid w:val="00087215"/>
    <w:rsid w:val="0009294B"/>
    <w:rsid w:val="00093F65"/>
    <w:rsid w:val="00095075"/>
    <w:rsid w:val="0009576B"/>
    <w:rsid w:val="000A0119"/>
    <w:rsid w:val="000A3869"/>
    <w:rsid w:val="000A3E62"/>
    <w:rsid w:val="000B47EE"/>
    <w:rsid w:val="000C7C87"/>
    <w:rsid w:val="000D0C36"/>
    <w:rsid w:val="000E46EA"/>
    <w:rsid w:val="00106990"/>
    <w:rsid w:val="0013082F"/>
    <w:rsid w:val="001440D1"/>
    <w:rsid w:val="0014466C"/>
    <w:rsid w:val="00151508"/>
    <w:rsid w:val="00156F08"/>
    <w:rsid w:val="00167899"/>
    <w:rsid w:val="00171B38"/>
    <w:rsid w:val="001732EC"/>
    <w:rsid w:val="001764EE"/>
    <w:rsid w:val="0018002D"/>
    <w:rsid w:val="00180C78"/>
    <w:rsid w:val="00195C77"/>
    <w:rsid w:val="001A09A4"/>
    <w:rsid w:val="001A2D54"/>
    <w:rsid w:val="001B3A72"/>
    <w:rsid w:val="001B6A51"/>
    <w:rsid w:val="001C18B2"/>
    <w:rsid w:val="001C37B4"/>
    <w:rsid w:val="001C6A73"/>
    <w:rsid w:val="001D067D"/>
    <w:rsid w:val="001F06C3"/>
    <w:rsid w:val="001F129E"/>
    <w:rsid w:val="001F2153"/>
    <w:rsid w:val="002002E8"/>
    <w:rsid w:val="0020563C"/>
    <w:rsid w:val="002163D5"/>
    <w:rsid w:val="00225BE4"/>
    <w:rsid w:val="00225D23"/>
    <w:rsid w:val="00231517"/>
    <w:rsid w:val="0023716C"/>
    <w:rsid w:val="00244F2C"/>
    <w:rsid w:val="00252468"/>
    <w:rsid w:val="00263782"/>
    <w:rsid w:val="00265C29"/>
    <w:rsid w:val="00271656"/>
    <w:rsid w:val="0028309F"/>
    <w:rsid w:val="00295D9F"/>
    <w:rsid w:val="002A1BA6"/>
    <w:rsid w:val="002B319F"/>
    <w:rsid w:val="002C1C99"/>
    <w:rsid w:val="002C2B52"/>
    <w:rsid w:val="002C52C8"/>
    <w:rsid w:val="002C60D5"/>
    <w:rsid w:val="002D1D20"/>
    <w:rsid w:val="002D253D"/>
    <w:rsid w:val="002E197C"/>
    <w:rsid w:val="002E5040"/>
    <w:rsid w:val="002E6FF6"/>
    <w:rsid w:val="002F3AC0"/>
    <w:rsid w:val="002F4EDF"/>
    <w:rsid w:val="00311E82"/>
    <w:rsid w:val="00317F1F"/>
    <w:rsid w:val="00321B2C"/>
    <w:rsid w:val="00325FE9"/>
    <w:rsid w:val="0032712C"/>
    <w:rsid w:val="00332B54"/>
    <w:rsid w:val="0033320A"/>
    <w:rsid w:val="0034124B"/>
    <w:rsid w:val="0034573D"/>
    <w:rsid w:val="00352A33"/>
    <w:rsid w:val="00354149"/>
    <w:rsid w:val="00356F60"/>
    <w:rsid w:val="0036413B"/>
    <w:rsid w:val="00367605"/>
    <w:rsid w:val="0037165F"/>
    <w:rsid w:val="00372579"/>
    <w:rsid w:val="00375F19"/>
    <w:rsid w:val="0038230D"/>
    <w:rsid w:val="00382D64"/>
    <w:rsid w:val="003874D9"/>
    <w:rsid w:val="003A2336"/>
    <w:rsid w:val="003B67D7"/>
    <w:rsid w:val="003D585A"/>
    <w:rsid w:val="003F0EB6"/>
    <w:rsid w:val="003F6B54"/>
    <w:rsid w:val="0040029D"/>
    <w:rsid w:val="00402A51"/>
    <w:rsid w:val="00403DE7"/>
    <w:rsid w:val="00404C1A"/>
    <w:rsid w:val="00407FE1"/>
    <w:rsid w:val="00411AD9"/>
    <w:rsid w:val="00415F91"/>
    <w:rsid w:val="00421E15"/>
    <w:rsid w:val="00430F13"/>
    <w:rsid w:val="00432437"/>
    <w:rsid w:val="00433CED"/>
    <w:rsid w:val="004477CA"/>
    <w:rsid w:val="004503FC"/>
    <w:rsid w:val="004547E4"/>
    <w:rsid w:val="00455077"/>
    <w:rsid w:val="00455208"/>
    <w:rsid w:val="00462EB6"/>
    <w:rsid w:val="00481FD2"/>
    <w:rsid w:val="00487378"/>
    <w:rsid w:val="00496BC1"/>
    <w:rsid w:val="004A2238"/>
    <w:rsid w:val="004A3364"/>
    <w:rsid w:val="004A392D"/>
    <w:rsid w:val="004A4681"/>
    <w:rsid w:val="004A783D"/>
    <w:rsid w:val="004B10B8"/>
    <w:rsid w:val="004B347D"/>
    <w:rsid w:val="004B4485"/>
    <w:rsid w:val="004B69F7"/>
    <w:rsid w:val="004C42D2"/>
    <w:rsid w:val="004C4FA0"/>
    <w:rsid w:val="004D7CB9"/>
    <w:rsid w:val="004E05BF"/>
    <w:rsid w:val="004E5762"/>
    <w:rsid w:val="004E60FC"/>
    <w:rsid w:val="004F1B03"/>
    <w:rsid w:val="004F20C3"/>
    <w:rsid w:val="004F7C81"/>
    <w:rsid w:val="00523841"/>
    <w:rsid w:val="00525E55"/>
    <w:rsid w:val="00540F2F"/>
    <w:rsid w:val="005430B0"/>
    <w:rsid w:val="0054500F"/>
    <w:rsid w:val="00546B2E"/>
    <w:rsid w:val="005547F1"/>
    <w:rsid w:val="00554C0B"/>
    <w:rsid w:val="0057735C"/>
    <w:rsid w:val="00581E74"/>
    <w:rsid w:val="005A00F7"/>
    <w:rsid w:val="005A7042"/>
    <w:rsid w:val="005C7A2B"/>
    <w:rsid w:val="005E28EE"/>
    <w:rsid w:val="005E3AA6"/>
    <w:rsid w:val="005E50C9"/>
    <w:rsid w:val="005F31F0"/>
    <w:rsid w:val="00601929"/>
    <w:rsid w:val="00611B71"/>
    <w:rsid w:val="00624B02"/>
    <w:rsid w:val="00633E3F"/>
    <w:rsid w:val="0067148D"/>
    <w:rsid w:val="00673302"/>
    <w:rsid w:val="0068255B"/>
    <w:rsid w:val="006939E1"/>
    <w:rsid w:val="00695E04"/>
    <w:rsid w:val="006C35D9"/>
    <w:rsid w:val="006C7526"/>
    <w:rsid w:val="006C7751"/>
    <w:rsid w:val="006D3D97"/>
    <w:rsid w:val="006D6C29"/>
    <w:rsid w:val="006D72AA"/>
    <w:rsid w:val="006E6429"/>
    <w:rsid w:val="006E76B6"/>
    <w:rsid w:val="006F01B0"/>
    <w:rsid w:val="006F488C"/>
    <w:rsid w:val="0070532F"/>
    <w:rsid w:val="00720C4B"/>
    <w:rsid w:val="007435A0"/>
    <w:rsid w:val="007614C1"/>
    <w:rsid w:val="00767151"/>
    <w:rsid w:val="0076771E"/>
    <w:rsid w:val="007707B1"/>
    <w:rsid w:val="00775E1A"/>
    <w:rsid w:val="00777E5E"/>
    <w:rsid w:val="00790953"/>
    <w:rsid w:val="00794C32"/>
    <w:rsid w:val="007A539C"/>
    <w:rsid w:val="007A57DC"/>
    <w:rsid w:val="007A66E9"/>
    <w:rsid w:val="007C04BC"/>
    <w:rsid w:val="007D2752"/>
    <w:rsid w:val="007D2A68"/>
    <w:rsid w:val="007D2BD8"/>
    <w:rsid w:val="007D6DDD"/>
    <w:rsid w:val="007D7186"/>
    <w:rsid w:val="00803A4B"/>
    <w:rsid w:val="00810F75"/>
    <w:rsid w:val="00827CE1"/>
    <w:rsid w:val="0083042F"/>
    <w:rsid w:val="00841886"/>
    <w:rsid w:val="00842199"/>
    <w:rsid w:val="00842EE9"/>
    <w:rsid w:val="008603CD"/>
    <w:rsid w:val="00881751"/>
    <w:rsid w:val="008A3DCC"/>
    <w:rsid w:val="008A45E6"/>
    <w:rsid w:val="008C0566"/>
    <w:rsid w:val="008C2E00"/>
    <w:rsid w:val="008C3DE0"/>
    <w:rsid w:val="008C4185"/>
    <w:rsid w:val="008D23F2"/>
    <w:rsid w:val="008E0E1B"/>
    <w:rsid w:val="008F453E"/>
    <w:rsid w:val="00905DE7"/>
    <w:rsid w:val="00932719"/>
    <w:rsid w:val="009473B8"/>
    <w:rsid w:val="0096195C"/>
    <w:rsid w:val="009719D3"/>
    <w:rsid w:val="009907BC"/>
    <w:rsid w:val="009B0CE1"/>
    <w:rsid w:val="009B1D63"/>
    <w:rsid w:val="009B65DE"/>
    <w:rsid w:val="009C5221"/>
    <w:rsid w:val="009E53F2"/>
    <w:rsid w:val="009F6B59"/>
    <w:rsid w:val="00A064B5"/>
    <w:rsid w:val="00A164E6"/>
    <w:rsid w:val="00A40A5B"/>
    <w:rsid w:val="00A40B31"/>
    <w:rsid w:val="00A451BD"/>
    <w:rsid w:val="00A4736E"/>
    <w:rsid w:val="00A51627"/>
    <w:rsid w:val="00A52DC4"/>
    <w:rsid w:val="00A62A23"/>
    <w:rsid w:val="00A72801"/>
    <w:rsid w:val="00A821E0"/>
    <w:rsid w:val="00A8301B"/>
    <w:rsid w:val="00A96373"/>
    <w:rsid w:val="00A963FC"/>
    <w:rsid w:val="00AA5890"/>
    <w:rsid w:val="00AA78F7"/>
    <w:rsid w:val="00AB2342"/>
    <w:rsid w:val="00AD01AB"/>
    <w:rsid w:val="00AD3D66"/>
    <w:rsid w:val="00AD71CE"/>
    <w:rsid w:val="00AE24C2"/>
    <w:rsid w:val="00AE56FC"/>
    <w:rsid w:val="00B12508"/>
    <w:rsid w:val="00B12877"/>
    <w:rsid w:val="00B2046F"/>
    <w:rsid w:val="00B264DA"/>
    <w:rsid w:val="00B33B8A"/>
    <w:rsid w:val="00B422BB"/>
    <w:rsid w:val="00B53A46"/>
    <w:rsid w:val="00B816E7"/>
    <w:rsid w:val="00B8227C"/>
    <w:rsid w:val="00B83B0E"/>
    <w:rsid w:val="00B93223"/>
    <w:rsid w:val="00B943CD"/>
    <w:rsid w:val="00BD564B"/>
    <w:rsid w:val="00BD5EF7"/>
    <w:rsid w:val="00BE0C8E"/>
    <w:rsid w:val="00BE1BC0"/>
    <w:rsid w:val="00BF6A92"/>
    <w:rsid w:val="00C029AC"/>
    <w:rsid w:val="00C06763"/>
    <w:rsid w:val="00C12EE2"/>
    <w:rsid w:val="00C16948"/>
    <w:rsid w:val="00C260C5"/>
    <w:rsid w:val="00C3226E"/>
    <w:rsid w:val="00C442F5"/>
    <w:rsid w:val="00C73F15"/>
    <w:rsid w:val="00C83AA9"/>
    <w:rsid w:val="00C863C8"/>
    <w:rsid w:val="00C86D2B"/>
    <w:rsid w:val="00C9159C"/>
    <w:rsid w:val="00C93AB7"/>
    <w:rsid w:val="00C96C87"/>
    <w:rsid w:val="00CA45D8"/>
    <w:rsid w:val="00CA54AE"/>
    <w:rsid w:val="00CA5C1D"/>
    <w:rsid w:val="00CA6035"/>
    <w:rsid w:val="00CA736F"/>
    <w:rsid w:val="00CB4E44"/>
    <w:rsid w:val="00CC034D"/>
    <w:rsid w:val="00CE54C4"/>
    <w:rsid w:val="00CF0A47"/>
    <w:rsid w:val="00CF4774"/>
    <w:rsid w:val="00D130F2"/>
    <w:rsid w:val="00D174CF"/>
    <w:rsid w:val="00D24D38"/>
    <w:rsid w:val="00D27B60"/>
    <w:rsid w:val="00D37696"/>
    <w:rsid w:val="00D5287A"/>
    <w:rsid w:val="00D536E8"/>
    <w:rsid w:val="00D7570A"/>
    <w:rsid w:val="00D83F89"/>
    <w:rsid w:val="00D96766"/>
    <w:rsid w:val="00DB2791"/>
    <w:rsid w:val="00DB399C"/>
    <w:rsid w:val="00DC20C0"/>
    <w:rsid w:val="00DD087B"/>
    <w:rsid w:val="00DF5CEA"/>
    <w:rsid w:val="00E0143B"/>
    <w:rsid w:val="00E04A5B"/>
    <w:rsid w:val="00E20A16"/>
    <w:rsid w:val="00E316E5"/>
    <w:rsid w:val="00E53406"/>
    <w:rsid w:val="00E57482"/>
    <w:rsid w:val="00E6522D"/>
    <w:rsid w:val="00E667B4"/>
    <w:rsid w:val="00E7234E"/>
    <w:rsid w:val="00EC7F69"/>
    <w:rsid w:val="00ED41CA"/>
    <w:rsid w:val="00EF2001"/>
    <w:rsid w:val="00EF499E"/>
    <w:rsid w:val="00EF7452"/>
    <w:rsid w:val="00F027FF"/>
    <w:rsid w:val="00F06066"/>
    <w:rsid w:val="00F07421"/>
    <w:rsid w:val="00F16BDB"/>
    <w:rsid w:val="00F17B57"/>
    <w:rsid w:val="00F2582E"/>
    <w:rsid w:val="00F32178"/>
    <w:rsid w:val="00F47172"/>
    <w:rsid w:val="00F51CAD"/>
    <w:rsid w:val="00F51CE7"/>
    <w:rsid w:val="00F61F85"/>
    <w:rsid w:val="00F71D68"/>
    <w:rsid w:val="00F72078"/>
    <w:rsid w:val="00F825A2"/>
    <w:rsid w:val="00F82B34"/>
    <w:rsid w:val="00F85186"/>
    <w:rsid w:val="00F85968"/>
    <w:rsid w:val="00FA62DB"/>
    <w:rsid w:val="00FB11EB"/>
    <w:rsid w:val="00FB2C70"/>
    <w:rsid w:val="00FD1D23"/>
    <w:rsid w:val="00FD7061"/>
    <w:rsid w:val="00FE068B"/>
    <w:rsid w:val="00FE0E71"/>
    <w:rsid w:val="00FE1EF3"/>
    <w:rsid w:val="00FE363E"/>
    <w:rsid w:val="00FF5F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57EF77"/>
  <w15:chartTrackingRefBased/>
  <w15:docId w15:val="{6F363C34-F063-4401-BA40-530AB2A8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uiPriority w:val="1"/>
    <w:qFormat/>
    <w:rsid w:val="006D3D97"/>
    <w:pPr>
      <w:jc w:val="right"/>
      <w:outlineLvl w:val="0"/>
    </w:pPr>
    <w:rPr>
      <w:sz w:val="64"/>
      <w:szCs w:val="64"/>
    </w:rPr>
  </w:style>
  <w:style w:type="paragraph" w:styleId="Heading2">
    <w:name w:val="heading 2"/>
    <w:basedOn w:val="Normal"/>
    <w:next w:val="Normal"/>
    <w:link w:val="Heading2Char"/>
    <w:uiPriority w:val="1"/>
    <w:unhideWhenUsed/>
    <w:qFormat/>
    <w:rsid w:val="004A392D"/>
    <w:pPr>
      <w:spacing w:before="200" w:after="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D3D97"/>
    <w:rPr>
      <w:sz w:val="64"/>
      <w:szCs w:val="64"/>
    </w:rPr>
  </w:style>
  <w:style w:type="character" w:customStyle="1" w:styleId="Heading2Char">
    <w:name w:val="Heading 2 Char"/>
    <w:basedOn w:val="DefaultParagraphFont"/>
    <w:link w:val="Heading2"/>
    <w:uiPriority w:val="1"/>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link w:val="NoSpacingChar"/>
    <w:uiPriority w:val="1"/>
    <w:qFormat/>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character" w:customStyle="1" w:styleId="NoSpacingChar">
    <w:name w:val="No Spacing Char"/>
    <w:basedOn w:val="DefaultParagraphFont"/>
    <w:link w:val="NoSpacing"/>
    <w:uiPriority w:val="1"/>
    <w:rsid w:val="00AA78F7"/>
    <w:rPr>
      <w:sz w:val="24"/>
    </w:rPr>
  </w:style>
  <w:style w:type="character" w:styleId="CommentReference">
    <w:name w:val="annotation reference"/>
    <w:basedOn w:val="DefaultParagraphFont"/>
    <w:uiPriority w:val="99"/>
    <w:semiHidden/>
    <w:unhideWhenUsed/>
    <w:rsid w:val="007614C1"/>
    <w:rPr>
      <w:sz w:val="16"/>
      <w:szCs w:val="16"/>
    </w:rPr>
  </w:style>
  <w:style w:type="paragraph" w:styleId="CommentText">
    <w:name w:val="annotation text"/>
    <w:basedOn w:val="Normal"/>
    <w:link w:val="CommentTextChar"/>
    <w:uiPriority w:val="99"/>
    <w:semiHidden/>
    <w:unhideWhenUsed/>
    <w:rsid w:val="007614C1"/>
    <w:pPr>
      <w:widowControl w:val="0"/>
      <w:spacing w:after="0" w:line="240" w:lineRule="auto"/>
    </w:pPr>
    <w:rPr>
      <w:sz w:val="20"/>
      <w:szCs w:val="20"/>
      <w:lang w:val="en-US"/>
    </w:rPr>
  </w:style>
  <w:style w:type="character" w:customStyle="1" w:styleId="CommentTextChar">
    <w:name w:val="Comment Text Char"/>
    <w:basedOn w:val="DefaultParagraphFont"/>
    <w:link w:val="CommentText"/>
    <w:uiPriority w:val="99"/>
    <w:semiHidden/>
    <w:rsid w:val="007614C1"/>
    <w:rPr>
      <w:sz w:val="20"/>
      <w:szCs w:val="20"/>
      <w:lang w:val="en-US"/>
    </w:rPr>
  </w:style>
  <w:style w:type="paragraph" w:styleId="TOC1">
    <w:name w:val="toc 1"/>
    <w:basedOn w:val="Normal"/>
    <w:next w:val="Normal"/>
    <w:autoRedefine/>
    <w:uiPriority w:val="39"/>
    <w:unhideWhenUsed/>
    <w:rsid w:val="001C18B2"/>
    <w:pPr>
      <w:tabs>
        <w:tab w:val="right" w:leader="dot" w:pos="9350"/>
      </w:tabs>
      <w:spacing w:after="100"/>
    </w:pPr>
    <w:rPr>
      <w:b/>
      <w:bCs/>
      <w:noProof/>
      <w:w w:val="107"/>
    </w:rPr>
  </w:style>
  <w:style w:type="paragraph" w:styleId="TOC2">
    <w:name w:val="toc 2"/>
    <w:basedOn w:val="Normal"/>
    <w:next w:val="Normal"/>
    <w:autoRedefine/>
    <w:uiPriority w:val="39"/>
    <w:unhideWhenUsed/>
    <w:rsid w:val="00EF499E"/>
    <w:pPr>
      <w:spacing w:after="100"/>
      <w:ind w:left="240"/>
    </w:pPr>
  </w:style>
  <w:style w:type="character" w:styleId="Hyperlink">
    <w:name w:val="Hyperlink"/>
    <w:basedOn w:val="DefaultParagraphFont"/>
    <w:uiPriority w:val="99"/>
    <w:unhideWhenUsed/>
    <w:rsid w:val="00EF499E"/>
    <w:rPr>
      <w:color w:val="5F5F5F" w:themeColor="hyperlink"/>
      <w:u w:val="single"/>
    </w:rPr>
  </w:style>
  <w:style w:type="paragraph" w:styleId="TOC3">
    <w:name w:val="toc 3"/>
    <w:basedOn w:val="Normal"/>
    <w:next w:val="Normal"/>
    <w:autoRedefine/>
    <w:uiPriority w:val="39"/>
    <w:unhideWhenUsed/>
    <w:rsid w:val="00403DE7"/>
    <w:pPr>
      <w:spacing w:after="100"/>
      <w:ind w:left="480"/>
    </w:pPr>
  </w:style>
  <w:style w:type="paragraph" w:styleId="FootnoteText">
    <w:name w:val="footnote text"/>
    <w:basedOn w:val="Normal"/>
    <w:link w:val="FootnoteTextChar"/>
    <w:uiPriority w:val="99"/>
    <w:semiHidden/>
    <w:unhideWhenUsed/>
    <w:rsid w:val="00A064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64B5"/>
    <w:rPr>
      <w:sz w:val="20"/>
      <w:szCs w:val="20"/>
    </w:rPr>
  </w:style>
  <w:style w:type="character" w:styleId="FootnoteReference">
    <w:name w:val="footnote reference"/>
    <w:basedOn w:val="DefaultParagraphFont"/>
    <w:uiPriority w:val="99"/>
    <w:semiHidden/>
    <w:unhideWhenUsed/>
    <w:rsid w:val="00A064B5"/>
    <w:rPr>
      <w:vertAlign w:val="superscript"/>
    </w:rPr>
  </w:style>
  <w:style w:type="table" w:styleId="TableGrid">
    <w:name w:val="Table Grid"/>
    <w:basedOn w:val="TableNormal"/>
    <w:uiPriority w:val="59"/>
    <w:rsid w:val="00A064B5"/>
    <w:pPr>
      <w:widowControl w:val="0"/>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1"/>
    <w:qFormat/>
    <w:rsid w:val="00F06066"/>
    <w:pPr>
      <w:widowControl w:val="0"/>
      <w:spacing w:after="0" w:line="240" w:lineRule="auto"/>
      <w:ind w:left="110"/>
    </w:pPr>
    <w:rPr>
      <w:rFonts w:ascii="Calibri" w:eastAsia="Calibri" w:hAnsi="Calibri"/>
      <w:sz w:val="18"/>
      <w:szCs w:val="18"/>
      <w:lang w:val="en-US"/>
    </w:rPr>
  </w:style>
  <w:style w:type="character" w:customStyle="1" w:styleId="BodyTextChar">
    <w:name w:val="Body Text Char"/>
    <w:basedOn w:val="DefaultParagraphFont"/>
    <w:link w:val="BodyText"/>
    <w:uiPriority w:val="1"/>
    <w:rsid w:val="00F06066"/>
    <w:rPr>
      <w:rFonts w:ascii="Calibri" w:eastAsia="Calibri" w:hAnsi="Calibri"/>
      <w:sz w:val="18"/>
      <w:szCs w:val="18"/>
      <w:lang w:val="en-US"/>
    </w:rPr>
  </w:style>
  <w:style w:type="table" w:styleId="LightGrid-Accent3">
    <w:name w:val="Light Grid Accent 3"/>
    <w:basedOn w:val="TableNormal"/>
    <w:uiPriority w:val="62"/>
    <w:rsid w:val="00E6522D"/>
    <w:pPr>
      <w:spacing w:after="0" w:line="240" w:lineRule="auto"/>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paragraph" w:styleId="CommentSubject">
    <w:name w:val="annotation subject"/>
    <w:basedOn w:val="CommentText"/>
    <w:next w:val="CommentText"/>
    <w:link w:val="CommentSubjectChar"/>
    <w:uiPriority w:val="99"/>
    <w:semiHidden/>
    <w:unhideWhenUsed/>
    <w:rsid w:val="00C73F15"/>
    <w:pPr>
      <w:widowControl/>
      <w:spacing w:after="200"/>
    </w:pPr>
    <w:rPr>
      <w:b/>
      <w:bCs/>
      <w:lang w:val="en-CA"/>
    </w:rPr>
  </w:style>
  <w:style w:type="character" w:customStyle="1" w:styleId="CommentSubjectChar">
    <w:name w:val="Comment Subject Char"/>
    <w:basedOn w:val="CommentTextChar"/>
    <w:link w:val="CommentSubject"/>
    <w:uiPriority w:val="99"/>
    <w:semiHidden/>
    <w:rsid w:val="00C73F15"/>
    <w:rPr>
      <w:b/>
      <w:bCs/>
      <w:sz w:val="20"/>
      <w:szCs w:val="20"/>
      <w:lang w:val="en-US"/>
    </w:rPr>
  </w:style>
  <w:style w:type="paragraph" w:customStyle="1" w:styleId="Default">
    <w:name w:val="Default"/>
    <w:basedOn w:val="Normal"/>
    <w:rsid w:val="00905DE7"/>
    <w:pPr>
      <w:autoSpaceDE w:val="0"/>
      <w:autoSpaceDN w:val="0"/>
      <w:spacing w:after="0" w:line="240" w:lineRule="auto"/>
    </w:pPr>
    <w:rPr>
      <w:rFonts w:ascii="Arial" w:hAnsi="Arial" w:cs="Arial"/>
      <w:color w:val="000000"/>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0524114">
      <w:bodyDiv w:val="1"/>
      <w:marLeft w:val="0"/>
      <w:marRight w:val="0"/>
      <w:marTop w:val="0"/>
      <w:marBottom w:val="0"/>
      <w:divBdr>
        <w:top w:val="none" w:sz="0" w:space="0" w:color="auto"/>
        <w:left w:val="none" w:sz="0" w:space="0" w:color="auto"/>
        <w:bottom w:val="none" w:sz="0" w:space="0" w:color="auto"/>
        <w:right w:val="none" w:sz="0" w:space="0" w:color="auto"/>
      </w:divBdr>
    </w:div>
    <w:div w:id="1300259243">
      <w:bodyDiv w:val="1"/>
      <w:marLeft w:val="0"/>
      <w:marRight w:val="0"/>
      <w:marTop w:val="0"/>
      <w:marBottom w:val="0"/>
      <w:divBdr>
        <w:top w:val="none" w:sz="0" w:space="0" w:color="auto"/>
        <w:left w:val="none" w:sz="0" w:space="0" w:color="auto"/>
        <w:bottom w:val="none" w:sz="0" w:space="0" w:color="auto"/>
        <w:right w:val="none" w:sz="0" w:space="0" w:color="auto"/>
      </w:divBdr>
    </w:div>
    <w:div w:id="158834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7.png"/><Relationship Id="rId26" Type="http://schemas.openxmlformats.org/officeDocument/2006/relationships/hyperlink" Target="http://www.escarpment.org/commission/AgencyDirectiveReporting/index.php" TargetMode="External"/><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chart" Target="charts/chart1.xml"/><Relationship Id="rId25" Type="http://schemas.openxmlformats.org/officeDocument/2006/relationships/image" Target="media/image14.emf"/><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jpg"/><Relationship Id="rId23" Type="http://schemas.openxmlformats.org/officeDocument/2006/relationships/image" Target="media/image12.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11.png"/><Relationship Id="rId27" Type="http://schemas.openxmlformats.org/officeDocument/2006/relationships/image" Target="media/image15.jpg"/><Relationship Id="rId30" Type="http://schemas.openxmlformats.org/officeDocument/2006/relationships/footer" Target="footer1.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RAMSAYDE\AppData\Local\Microsoft\Windows\INetCache\Content.Outlook\Q1LFAD2N\2020-2021%20Annual%20Report.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r>
              <a:rPr lang="en-CA"/>
              <a:t>Number of DP's by fiscal</a:t>
            </a:r>
          </a:p>
        </c:rich>
      </c:tx>
      <c:overlay val="0"/>
      <c:spPr>
        <a:noFill/>
        <a:ln>
          <a:noFill/>
        </a:ln>
        <a:effectLst/>
      </c:spPr>
      <c:txPr>
        <a:bodyPr rot="0" spcFirstLastPara="1" vertOverflow="ellipsis" vert="horz" wrap="square" anchor="ctr" anchorCtr="1"/>
        <a:lstStyle/>
        <a:p>
          <a:pPr>
            <a:defRPr sz="144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9247594050743664E-2"/>
          <c:y val="0.15526946682168022"/>
          <c:w val="0.89019685039370078"/>
          <c:h val="0.74813866703936727"/>
        </c:manualLayout>
      </c:layout>
      <c:lineChart>
        <c:grouping val="standard"/>
        <c:varyColors val="0"/>
        <c:ser>
          <c:idx val="0"/>
          <c:order val="0"/>
          <c:tx>
            <c:strRef>
              <c:f>Sheet1!$B$1</c:f>
              <c:strCache>
                <c:ptCount val="1"/>
                <c:pt idx="0">
                  <c:v>Application Received</c:v>
                </c:pt>
              </c:strCache>
            </c:strRef>
          </c:tx>
          <c:spPr>
            <a:ln w="28575" cap="rnd">
              <a:solidFill>
                <a:schemeClr val="accent5">
                  <a:lumMod val="50000"/>
                </a:schemeClr>
              </a:solidFill>
              <a:round/>
            </a:ln>
            <a:effectLst/>
          </c:spPr>
          <c:marker>
            <c:symbol val="circle"/>
            <c:size val="5"/>
            <c:spPr>
              <a:solidFill>
                <a:schemeClr val="accent5">
                  <a:lumMod val="50000"/>
                </a:schemeClr>
              </a:solidFill>
              <a:ln w="9525">
                <a:solidFill>
                  <a:srgbClr val="002060"/>
                </a:solidFill>
              </a:ln>
              <a:effectLst/>
            </c:spPr>
          </c:marker>
          <c:dLbls>
            <c:dLbl>
              <c:idx val="0"/>
              <c:layout>
                <c:manualLayout>
                  <c:x val="-3.1917669005549827E-2"/>
                  <c:y val="4.163835452771793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253-4F77-9D9C-69B82D99AAD8}"/>
                </c:ext>
              </c:extLst>
            </c:dLbl>
            <c:dLbl>
              <c:idx val="3"/>
              <c:layout>
                <c:manualLayout>
                  <c:x val="-3.4030716725820989E-2"/>
                  <c:y val="3.51815345115758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253-4F77-9D9C-69B82D99AAD8}"/>
                </c:ext>
              </c:extLst>
            </c:dLbl>
            <c:dLbl>
              <c:idx val="4"/>
              <c:layout>
                <c:manualLayout>
                  <c:x val="-3.4030716725820913E-2"/>
                  <c:y val="4.486676453578902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253-4F77-9D9C-69B82D99AAD8}"/>
                </c:ext>
              </c:extLst>
            </c:dLbl>
            <c:dLbl>
              <c:idx val="5"/>
              <c:layout>
                <c:manualLayout>
                  <c:x val="-3.4030716725820913E-2"/>
                  <c:y val="2.872471449543377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253-4F77-9D9C-69B82D99AAD8}"/>
                </c:ext>
              </c:extLst>
            </c:dLbl>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2014-2015</c:v>
                </c:pt>
                <c:pt idx="1">
                  <c:v>2015-2016</c:v>
                </c:pt>
                <c:pt idx="2">
                  <c:v>2016-2017</c:v>
                </c:pt>
                <c:pt idx="3">
                  <c:v>2017-2018</c:v>
                </c:pt>
                <c:pt idx="4">
                  <c:v>2018-2019</c:v>
                </c:pt>
                <c:pt idx="5">
                  <c:v>2019-2020</c:v>
                </c:pt>
                <c:pt idx="6">
                  <c:v>2020-2021</c:v>
                </c:pt>
              </c:strCache>
            </c:strRef>
          </c:cat>
          <c:val>
            <c:numRef>
              <c:f>Sheet1!$B$2:$B$8</c:f>
              <c:numCache>
                <c:formatCode>General</c:formatCode>
                <c:ptCount val="7"/>
                <c:pt idx="0">
                  <c:v>446</c:v>
                </c:pt>
                <c:pt idx="1">
                  <c:v>650</c:v>
                </c:pt>
                <c:pt idx="2">
                  <c:v>746</c:v>
                </c:pt>
                <c:pt idx="3">
                  <c:v>760</c:v>
                </c:pt>
                <c:pt idx="4">
                  <c:v>733</c:v>
                </c:pt>
                <c:pt idx="5">
                  <c:v>641</c:v>
                </c:pt>
                <c:pt idx="6">
                  <c:v>757</c:v>
                </c:pt>
              </c:numCache>
            </c:numRef>
          </c:val>
          <c:smooth val="0"/>
          <c:extLst>
            <c:ext xmlns:c16="http://schemas.microsoft.com/office/drawing/2014/chart" uri="{C3380CC4-5D6E-409C-BE32-E72D297353CC}">
              <c16:uniqueId val="{00000004-4253-4F77-9D9C-69B82D99AAD8}"/>
            </c:ext>
          </c:extLst>
        </c:ser>
        <c:ser>
          <c:idx val="1"/>
          <c:order val="1"/>
          <c:tx>
            <c:strRef>
              <c:f>Sheet1!$C$1</c:f>
              <c:strCache>
                <c:ptCount val="1"/>
                <c:pt idx="0">
                  <c:v>Application Processed</c:v>
                </c:pt>
              </c:strCache>
            </c:strRef>
          </c:tx>
          <c:spPr>
            <a:ln w="28575" cap="rnd">
              <a:solidFill>
                <a:srgbClr val="33A8FF"/>
              </a:solidFill>
              <a:round/>
            </a:ln>
            <a:effectLst/>
          </c:spPr>
          <c:marker>
            <c:symbol val="circle"/>
            <c:size val="5"/>
            <c:spPr>
              <a:solidFill>
                <a:srgbClr val="33A8FF"/>
              </a:solidFill>
              <a:ln w="9525">
                <a:solidFill>
                  <a:srgbClr val="33A8FF"/>
                </a:solidFill>
              </a:ln>
              <a:effectLst/>
            </c:spPr>
          </c:marker>
          <c:dLbls>
            <c:dLbl>
              <c:idx val="0"/>
              <c:layout>
                <c:manualLayout>
                  <c:x val="-3.6143764446091992E-2"/>
                  <c:y val="-4.2300305682128773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253-4F77-9D9C-69B82D99AAD8}"/>
                </c:ext>
              </c:extLst>
            </c:dLbl>
            <c:dLbl>
              <c:idx val="4"/>
              <c:layout>
                <c:manualLayout>
                  <c:x val="-2.5578525844736581E-2"/>
                  <c:y val="-5.198553570634182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253-4F77-9D9C-69B82D99AAD8}"/>
                </c:ext>
              </c:extLst>
            </c:dLbl>
            <c:dLbl>
              <c:idx val="5"/>
              <c:layout>
                <c:manualLayout>
                  <c:x val="-2.9804621285278745E-2"/>
                  <c:y val="-4.2300305682128718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253-4F77-9D9C-69B82D99AAD8}"/>
                </c:ext>
              </c:extLst>
            </c:dLbl>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7"/>
                <c:pt idx="0">
                  <c:v>2014-2015</c:v>
                </c:pt>
                <c:pt idx="1">
                  <c:v>2015-2016</c:v>
                </c:pt>
                <c:pt idx="2">
                  <c:v>2016-2017</c:v>
                </c:pt>
                <c:pt idx="3">
                  <c:v>2017-2018</c:v>
                </c:pt>
                <c:pt idx="4">
                  <c:v>2018-2019</c:v>
                </c:pt>
                <c:pt idx="5">
                  <c:v>2019-2020</c:v>
                </c:pt>
                <c:pt idx="6">
                  <c:v>2020-2021</c:v>
                </c:pt>
              </c:strCache>
            </c:strRef>
          </c:cat>
          <c:val>
            <c:numRef>
              <c:f>Sheet1!$C$2:$C$8</c:f>
              <c:numCache>
                <c:formatCode>General</c:formatCode>
                <c:ptCount val="7"/>
                <c:pt idx="0">
                  <c:v>466</c:v>
                </c:pt>
                <c:pt idx="1">
                  <c:v>519</c:v>
                </c:pt>
                <c:pt idx="2">
                  <c:v>644</c:v>
                </c:pt>
                <c:pt idx="3">
                  <c:v>823</c:v>
                </c:pt>
                <c:pt idx="4">
                  <c:v>748</c:v>
                </c:pt>
                <c:pt idx="5">
                  <c:v>656</c:v>
                </c:pt>
                <c:pt idx="6">
                  <c:v>534</c:v>
                </c:pt>
              </c:numCache>
            </c:numRef>
          </c:val>
          <c:smooth val="0"/>
          <c:extLst>
            <c:ext xmlns:c16="http://schemas.microsoft.com/office/drawing/2014/chart" uri="{C3380CC4-5D6E-409C-BE32-E72D297353CC}">
              <c16:uniqueId val="{00000008-4253-4F77-9D9C-69B82D99AAD8}"/>
            </c:ext>
          </c:extLst>
        </c:ser>
        <c:dLbls>
          <c:dLblPos val="t"/>
          <c:showLegendKey val="0"/>
          <c:showVal val="1"/>
          <c:showCatName val="0"/>
          <c:showSerName val="0"/>
          <c:showPercent val="0"/>
          <c:showBubbleSize val="0"/>
        </c:dLbls>
        <c:marker val="1"/>
        <c:smooth val="0"/>
        <c:axId val="490373672"/>
        <c:axId val="411361112"/>
      </c:lineChart>
      <c:catAx>
        <c:axId val="490373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411361112"/>
        <c:crosses val="autoZero"/>
        <c:auto val="1"/>
        <c:lblAlgn val="ctr"/>
        <c:lblOffset val="100"/>
        <c:noMultiLvlLbl val="0"/>
      </c:catAx>
      <c:valAx>
        <c:axId val="411361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490373672"/>
        <c:crosses val="autoZero"/>
        <c:crossBetween val="between"/>
      </c:valAx>
      <c:spPr>
        <a:noFill/>
        <a:ln>
          <a:noFill/>
        </a:ln>
        <a:effectLst/>
      </c:spPr>
    </c:plotArea>
    <c:legend>
      <c:legendPos val="b"/>
      <c:layout>
        <c:manualLayout>
          <c:xMode val="edge"/>
          <c:yMode val="edge"/>
          <c:x val="0.76055043404204448"/>
          <c:y val="0.59020858715397762"/>
          <c:w val="0.19468022747156605"/>
          <c:h val="0.29108850976961209"/>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1FCC72EEC73B44C951DF56E50F2A302" ma:contentTypeVersion="10" ma:contentTypeDescription="Create a new document." ma:contentTypeScope="" ma:versionID="04db5d66b3fca36cdc54937691d3b354">
  <xsd:schema xmlns:xsd="http://www.w3.org/2001/XMLSchema" xmlns:xs="http://www.w3.org/2001/XMLSchema" xmlns:p="http://schemas.microsoft.com/office/2006/metadata/properties" xmlns:ns3="0b8f238d-0d63-42ff-87ed-52253c6854df" targetNamespace="http://schemas.microsoft.com/office/2006/metadata/properties" ma:root="true" ma:fieldsID="8b94b981417d16444fd302aac06ff310" ns3:_="">
    <xsd:import namespace="0b8f238d-0d63-42ff-87ed-52253c6854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f238d-0d63-42ff-87ed-52253c685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EB360-53F3-45CA-B650-56FF47D8B0B2}">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b8f238d-0d63-42ff-87ed-52253c6854df"/>
    <ds:schemaRef ds:uri="http://www.w3.org/XML/1998/namespace"/>
  </ds:schemaRefs>
</ds:datastoreItem>
</file>

<file path=customXml/itemProps2.xml><?xml version="1.0" encoding="utf-8"?>
<ds:datastoreItem xmlns:ds="http://schemas.openxmlformats.org/officeDocument/2006/customXml" ds:itemID="{3C8C6208-FEE5-49C3-A4F2-6F6DEA41ED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f238d-0d63-42ff-87ed-52253c6854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247285-8978-4D87-B456-0590B50E11C0}">
  <ds:schemaRefs>
    <ds:schemaRef ds:uri="http://schemas.microsoft.com/sharepoint/v3/contenttype/forms"/>
  </ds:schemaRefs>
</ds:datastoreItem>
</file>

<file path=customXml/itemProps4.xml><?xml version="1.0" encoding="utf-8"?>
<ds:datastoreItem xmlns:ds="http://schemas.openxmlformats.org/officeDocument/2006/customXml" ds:itemID="{1E0B433E-A41C-4244-B65C-E1B84FA19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60</Pages>
  <Words>13156</Words>
  <Characters>74991</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2020 - 2021
Annual Report</vt:lpstr>
    </vt:vector>
  </TitlesOfParts>
  <Company>Government of Ontario</Company>
  <LinksUpToDate>false</LinksUpToDate>
  <CharactersWithSpaces>87972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2020 - 2021
Annual Report</dc:title>
  <dc:subject>Niagara Escarpment Commission</dc:subject>
  <dc:creator>Danielle</dc:creator>
  <cp:keywords/>
  <dc:description/>
  <cp:lastModifiedBy>D'Silva, Danielle (NDMNRF)</cp:lastModifiedBy>
  <cp:revision>2</cp:revision>
  <cp:lastPrinted>2021-07-30T13:15:00Z</cp:lastPrinted>
  <dcterms:created xsi:type="dcterms:W3CDTF">2021-10-12T13:46:00Z</dcterms:created>
  <dcterms:modified xsi:type="dcterms:W3CDTF">2021-10-12T13:46:00Z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0x010100A1FCC72EEC73B44C951DF56E50F2A302</vt:lpwstr>
  </property>
  <property fmtid="{D5CDD505-2E9C-101B-9397-08002B2CF9AE}" pid="3" name="MSIP_Label_034a106e-6316-442c-ad35-738afd673d2b_Enabled">
    <vt:lpwstr>true</vt:lpwstr>
  </property>
  <property fmtid="{D5CDD505-2E9C-101B-9397-08002B2CF9AE}" pid="4" name="MSIP_Label_034a106e-6316-442c-ad35-738afd673d2b_SetDate">
    <vt:lpwstr>2021-10-12T13:46:17Z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884de11c-82ee-4165-be56-d403fde8cab4</vt:lpwstr>
  </property>
  <property fmtid="{D5CDD505-2E9C-101B-9397-08002B2CF9AE}" pid="9" name="MSIP_Label_034a106e-6316-442c-ad35-738afd673d2b_ContentBits">
    <vt:lpwstr>0</vt:lpwstr>
  </property>
</Properties>
</file>