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30F9E" w14:textId="33151880" w:rsidR="000C4FC3" w:rsidRDefault="008D4CB0" w:rsidP="00F61F85">
      <w:pPr>
        <w:rPr>
          <w:rFonts w:cstheme="minorHAnsi"/>
          <w:lang w:val="en-US"/>
        </w:rPr>
      </w:pPr>
      <w:r>
        <w:rPr>
          <w:rFonts w:cstheme="minorHAnsi"/>
          <w:lang w:val="en-US"/>
        </w:rPr>
        <w:t>November 17, 2021</w:t>
      </w:r>
    </w:p>
    <w:p w14:paraId="2F32C8F0" w14:textId="77777777" w:rsidR="00554131" w:rsidRPr="0035152F" w:rsidRDefault="00554131" w:rsidP="0035152F">
      <w:pPr>
        <w:pStyle w:val="Heading1"/>
      </w:pPr>
      <w:r w:rsidRPr="0035152F">
        <w:t>STAFF REPORT</w:t>
      </w:r>
    </w:p>
    <w:p w14:paraId="4A535882" w14:textId="77777777" w:rsidR="00554131" w:rsidRPr="00554131" w:rsidRDefault="00554131" w:rsidP="00554131">
      <w:pPr>
        <w:spacing w:after="0" w:line="240" w:lineRule="auto"/>
        <w:rPr>
          <w:rFonts w:ascii="Arial" w:eastAsia="Times New Roman" w:hAnsi="Arial" w:cs="Arial"/>
          <w:b/>
          <w:szCs w:val="24"/>
        </w:rPr>
      </w:pPr>
    </w:p>
    <w:p w14:paraId="4A542A55" w14:textId="77777777" w:rsidR="00A21C97" w:rsidRDefault="008D4CB0" w:rsidP="00675B20">
      <w:pPr>
        <w:pStyle w:val="Heading2"/>
      </w:pPr>
      <w:r>
        <w:t xml:space="preserve">Niagara Escarpment Plan Agricultural Policies </w:t>
      </w:r>
    </w:p>
    <w:p w14:paraId="50BE34DE" w14:textId="7A8E90C1" w:rsidR="00554131" w:rsidRPr="0035152F" w:rsidRDefault="00040FF3" w:rsidP="00675B20">
      <w:pPr>
        <w:pStyle w:val="Heading2"/>
      </w:pPr>
      <w:r>
        <w:t xml:space="preserve">Amendment Scoping </w:t>
      </w:r>
      <w:r w:rsidR="008D4CB0">
        <w:t>Discussion Paper</w:t>
      </w:r>
    </w:p>
    <w:p w14:paraId="7B712062" w14:textId="62165307" w:rsidR="0035152F" w:rsidRDefault="0035152F" w:rsidP="00554131">
      <w:pPr>
        <w:spacing w:after="0" w:line="240" w:lineRule="auto"/>
        <w:rPr>
          <w:rFonts w:ascii="Arial" w:eastAsia="Times New Roman" w:hAnsi="Arial" w:cs="Arial"/>
          <w:noProof/>
          <w:szCs w:val="24"/>
        </w:rPr>
      </w:pPr>
      <w:r>
        <w:rPr>
          <w:rFonts w:ascii="Arial" w:eastAsia="Times New Roman" w:hAnsi="Arial" w:cs="Arial"/>
          <w:noProof/>
          <w:szCs w:val="24"/>
        </w:rPr>
        <mc:AlternateContent>
          <mc:Choice Requires="wps">
            <w:drawing>
              <wp:anchor distT="0" distB="0" distL="114300" distR="114300" simplePos="0" relativeHeight="251659264" behindDoc="0" locked="0" layoutInCell="1" allowOverlap="1" wp14:anchorId="0D7C1D7F" wp14:editId="7692A222">
                <wp:simplePos x="0" y="0"/>
                <wp:positionH relativeFrom="column">
                  <wp:posOffset>0</wp:posOffset>
                </wp:positionH>
                <wp:positionV relativeFrom="paragraph">
                  <wp:posOffset>83820</wp:posOffset>
                </wp:positionV>
                <wp:extent cx="6102350"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02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6F9181" id="Straight Connector 4" o:spid="_x0000_s1026" alt="&quot;&quot;"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6.6pt" to="480.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" strokecolor="black [3040]"/>
            </w:pict>
          </mc:Fallback>
        </mc:AlternateContent>
      </w:r>
    </w:p>
    <w:p w14:paraId="11E8C875" w14:textId="77777777" w:rsidR="0078718D" w:rsidRDefault="0078718D" w:rsidP="0035152F">
      <w:pPr>
        <w:pStyle w:val="Heading2"/>
        <w:jc w:val="center"/>
      </w:pPr>
    </w:p>
    <w:p w14:paraId="2E79D1A9" w14:textId="563034F8" w:rsidR="00554131" w:rsidRDefault="0035152F" w:rsidP="008D4CB0">
      <w:pPr>
        <w:pStyle w:val="Heading2"/>
        <w:spacing w:line="276" w:lineRule="auto"/>
      </w:pPr>
      <w:r w:rsidRPr="00554131">
        <w:t>SUMMARY</w:t>
      </w:r>
    </w:p>
    <w:p w14:paraId="126CFD97" w14:textId="77777777" w:rsidR="008D4CB0" w:rsidRPr="008D4CB0" w:rsidRDefault="008D4CB0" w:rsidP="008D4CB0">
      <w:pPr>
        <w:spacing w:after="0"/>
      </w:pPr>
    </w:p>
    <w:p w14:paraId="3702F8E1" w14:textId="30AACC83" w:rsidR="00E40538" w:rsidRDefault="008D4CB0" w:rsidP="00FF266C">
      <w:pPr>
        <w:autoSpaceDE w:val="0"/>
        <w:autoSpaceDN w:val="0"/>
        <w:adjustRightInd w:val="0"/>
        <w:spacing w:after="0"/>
        <w:rPr>
          <w:rFonts w:ascii="Arial" w:hAnsi="Arial" w:cs="Arial"/>
          <w:szCs w:val="24"/>
        </w:rPr>
      </w:pPr>
      <w:r>
        <w:rPr>
          <w:lang w:val="en-US"/>
        </w:rPr>
        <w:t>Members of the Niagara Escarpment Commission (NEC)</w:t>
      </w:r>
      <w:r w:rsidR="00CA1853">
        <w:rPr>
          <w:lang w:val="en-US"/>
        </w:rPr>
        <w:t xml:space="preserve">, as well as some agricultural </w:t>
      </w:r>
      <w:r w:rsidR="00101E8B">
        <w:rPr>
          <w:lang w:val="en-US"/>
        </w:rPr>
        <w:t>stakeholders</w:t>
      </w:r>
      <w:r w:rsidR="00CA1853">
        <w:rPr>
          <w:lang w:val="en-US"/>
        </w:rPr>
        <w:t xml:space="preserve">, </w:t>
      </w:r>
      <w:r>
        <w:rPr>
          <w:lang w:val="en-US"/>
        </w:rPr>
        <w:t>have expressed concern that the agricultural policies of the Niagara Escarpment Plan (NEP 2017) are inadequate in terms of supporting agriculture</w:t>
      </w:r>
      <w:r w:rsidR="00CA1853">
        <w:rPr>
          <w:lang w:val="en-US"/>
        </w:rPr>
        <w:t xml:space="preserve"> for the long-term</w:t>
      </w:r>
      <w:r>
        <w:rPr>
          <w:lang w:val="en-US"/>
        </w:rPr>
        <w:t xml:space="preserve">.  </w:t>
      </w:r>
      <w:r w:rsidR="006D0F99">
        <w:rPr>
          <w:rFonts w:ascii="Arial" w:hAnsi="Arial" w:cs="Arial"/>
          <w:szCs w:val="24"/>
        </w:rPr>
        <w:t xml:space="preserve"> </w:t>
      </w:r>
      <w:r w:rsidR="0074239B">
        <w:rPr>
          <w:lang w:val="en-US"/>
        </w:rPr>
        <w:t>The 2017 NEP has now had the benefit of four</w:t>
      </w:r>
      <w:r w:rsidR="00101E8B">
        <w:rPr>
          <w:lang w:val="en-US"/>
        </w:rPr>
        <w:t xml:space="preserve"> </w:t>
      </w:r>
      <w:r w:rsidR="0074239B">
        <w:rPr>
          <w:lang w:val="en-US"/>
        </w:rPr>
        <w:t>years of implementation</w:t>
      </w:r>
      <w:r w:rsidR="00B56244">
        <w:rPr>
          <w:lang w:val="en-US"/>
        </w:rPr>
        <w:t xml:space="preserve"> and </w:t>
      </w:r>
      <w:r w:rsidR="00432634">
        <w:rPr>
          <w:lang w:val="en-US"/>
        </w:rPr>
        <w:t>s</w:t>
      </w:r>
      <w:r w:rsidR="00B56244">
        <w:rPr>
          <w:lang w:val="en-US"/>
        </w:rPr>
        <w:t>taff and the Commission have been monitoring and documenting</w:t>
      </w:r>
      <w:r w:rsidR="006975FA">
        <w:rPr>
          <w:lang w:val="en-US"/>
        </w:rPr>
        <w:t xml:space="preserve"> </w:t>
      </w:r>
      <w:r w:rsidR="006D0F99">
        <w:rPr>
          <w:rFonts w:ascii="Arial" w:hAnsi="Arial" w:cs="Arial"/>
          <w:szCs w:val="24"/>
        </w:rPr>
        <w:t xml:space="preserve">the </w:t>
      </w:r>
      <w:r w:rsidR="006975FA">
        <w:rPr>
          <w:rFonts w:ascii="Arial" w:hAnsi="Arial" w:cs="Arial"/>
          <w:szCs w:val="24"/>
        </w:rPr>
        <w:t xml:space="preserve">outcomes, challenges and </w:t>
      </w:r>
      <w:r w:rsidR="006D0F99">
        <w:rPr>
          <w:rFonts w:ascii="Arial" w:hAnsi="Arial" w:cs="Arial"/>
          <w:szCs w:val="24"/>
        </w:rPr>
        <w:t>lessons learned through early implementation</w:t>
      </w:r>
      <w:r w:rsidR="00CF1F3D">
        <w:rPr>
          <w:rFonts w:ascii="Arial" w:hAnsi="Arial" w:cs="Arial"/>
          <w:szCs w:val="24"/>
        </w:rPr>
        <w:t xml:space="preserve">. </w:t>
      </w:r>
    </w:p>
    <w:p w14:paraId="4C7101EC" w14:textId="77777777" w:rsidR="00E40538" w:rsidRDefault="00E40538" w:rsidP="00FF266C">
      <w:pPr>
        <w:autoSpaceDE w:val="0"/>
        <w:autoSpaceDN w:val="0"/>
        <w:adjustRightInd w:val="0"/>
        <w:spacing w:after="0"/>
        <w:rPr>
          <w:rFonts w:ascii="Arial" w:hAnsi="Arial" w:cs="Arial"/>
          <w:szCs w:val="24"/>
        </w:rPr>
      </w:pPr>
    </w:p>
    <w:p w14:paraId="32275806" w14:textId="7F75A081" w:rsidR="0035152F" w:rsidRDefault="002A1598" w:rsidP="00FF266C">
      <w:pPr>
        <w:autoSpaceDE w:val="0"/>
        <w:autoSpaceDN w:val="0"/>
        <w:adjustRightInd w:val="0"/>
        <w:spacing w:after="0"/>
        <w:rPr>
          <w:lang w:val="en-US"/>
        </w:rPr>
      </w:pPr>
      <w:r>
        <w:rPr>
          <w:lang w:val="en-US"/>
        </w:rPr>
        <w:t xml:space="preserve">This Report has been prepared </w:t>
      </w:r>
      <w:r w:rsidR="0078794F">
        <w:rPr>
          <w:lang w:val="en-US"/>
        </w:rPr>
        <w:t>for the purpose</w:t>
      </w:r>
      <w:r w:rsidR="00445E5D">
        <w:rPr>
          <w:lang w:val="en-US"/>
        </w:rPr>
        <w:t>s</w:t>
      </w:r>
      <w:r w:rsidR="0078794F">
        <w:rPr>
          <w:lang w:val="en-US"/>
        </w:rPr>
        <w:t xml:space="preserve"> of </w:t>
      </w:r>
      <w:r w:rsidR="00E40538">
        <w:rPr>
          <w:lang w:val="en-US"/>
        </w:rPr>
        <w:t>providing a consolidated</w:t>
      </w:r>
      <w:r w:rsidR="00CB2BEC">
        <w:rPr>
          <w:lang w:val="en-US"/>
        </w:rPr>
        <w:t xml:space="preserve"> summary of the</w:t>
      </w:r>
      <w:r w:rsidR="004B4454">
        <w:rPr>
          <w:lang w:val="en-US"/>
        </w:rPr>
        <w:t xml:space="preserve"> agricultural</w:t>
      </w:r>
      <w:r w:rsidR="00CB2BEC">
        <w:rPr>
          <w:lang w:val="en-US"/>
        </w:rPr>
        <w:t xml:space="preserve"> discussions to date</w:t>
      </w:r>
      <w:r w:rsidR="00900624">
        <w:rPr>
          <w:lang w:val="en-US"/>
        </w:rPr>
        <w:t xml:space="preserve"> (since the Coordinated </w:t>
      </w:r>
      <w:r w:rsidR="003970AC">
        <w:rPr>
          <w:lang w:val="en-US"/>
        </w:rPr>
        <w:t xml:space="preserve">Land Use </w:t>
      </w:r>
      <w:r w:rsidR="002D546B">
        <w:rPr>
          <w:lang w:val="en-US"/>
        </w:rPr>
        <w:t>Plan</w:t>
      </w:r>
      <w:r w:rsidR="003970AC">
        <w:rPr>
          <w:lang w:val="en-US"/>
        </w:rPr>
        <w:t>ning</w:t>
      </w:r>
      <w:r w:rsidR="00900624">
        <w:rPr>
          <w:lang w:val="en-US"/>
        </w:rPr>
        <w:t xml:space="preserve"> Review)</w:t>
      </w:r>
      <w:r w:rsidR="00CB2BEC">
        <w:rPr>
          <w:lang w:val="en-US"/>
        </w:rPr>
        <w:t>,</w:t>
      </w:r>
      <w:r w:rsidR="00927016">
        <w:rPr>
          <w:lang w:val="en-US"/>
        </w:rPr>
        <w:t xml:space="preserve"> and</w:t>
      </w:r>
      <w:r w:rsidR="00CB2BEC">
        <w:rPr>
          <w:lang w:val="en-US"/>
        </w:rPr>
        <w:t xml:space="preserve"> </w:t>
      </w:r>
      <w:r w:rsidR="002D6312">
        <w:rPr>
          <w:lang w:val="en-US"/>
        </w:rPr>
        <w:t xml:space="preserve">to </w:t>
      </w:r>
      <w:r w:rsidR="00DF5864">
        <w:rPr>
          <w:lang w:val="en-US"/>
        </w:rPr>
        <w:t xml:space="preserve">provide a summary of the </w:t>
      </w:r>
      <w:r w:rsidR="00927016">
        <w:rPr>
          <w:lang w:val="en-US"/>
        </w:rPr>
        <w:t xml:space="preserve">successes and </w:t>
      </w:r>
      <w:r w:rsidR="00DF5864">
        <w:rPr>
          <w:lang w:val="en-US"/>
        </w:rPr>
        <w:t xml:space="preserve">challenges </w:t>
      </w:r>
      <w:r w:rsidR="002D6312">
        <w:rPr>
          <w:lang w:val="en-US"/>
        </w:rPr>
        <w:t xml:space="preserve">to implementation </w:t>
      </w:r>
      <w:r w:rsidR="003109BA">
        <w:rPr>
          <w:lang w:val="en-US"/>
        </w:rPr>
        <w:t xml:space="preserve">(of the agricultural policies) </w:t>
      </w:r>
      <w:r w:rsidR="002D6312">
        <w:rPr>
          <w:lang w:val="en-US"/>
        </w:rPr>
        <w:t>that have been observed</w:t>
      </w:r>
      <w:r w:rsidR="00CC17B3">
        <w:rPr>
          <w:lang w:val="en-US"/>
        </w:rPr>
        <w:t xml:space="preserve"> since the 2017 NEP has been in operation</w:t>
      </w:r>
      <w:r w:rsidR="001D5494">
        <w:rPr>
          <w:lang w:val="en-US"/>
        </w:rPr>
        <w:t>,</w:t>
      </w:r>
      <w:r w:rsidR="00CC17B3">
        <w:rPr>
          <w:lang w:val="en-US"/>
        </w:rPr>
        <w:t xml:space="preserve"> in order to</w:t>
      </w:r>
      <w:r w:rsidR="00B0319E">
        <w:rPr>
          <w:lang w:val="en-US"/>
        </w:rPr>
        <w:t xml:space="preserve"> </w:t>
      </w:r>
      <w:r w:rsidR="00CB2BEC">
        <w:rPr>
          <w:lang w:val="en-US"/>
        </w:rPr>
        <w:t>provide</w:t>
      </w:r>
      <w:r w:rsidR="007369C4">
        <w:rPr>
          <w:lang w:val="en-US"/>
        </w:rPr>
        <w:t xml:space="preserve"> the </w:t>
      </w:r>
      <w:r w:rsidR="002D6312">
        <w:rPr>
          <w:lang w:val="en-US"/>
        </w:rPr>
        <w:t>foundation for</w:t>
      </w:r>
      <w:r w:rsidR="007369C4">
        <w:rPr>
          <w:lang w:val="en-US"/>
        </w:rPr>
        <w:t xml:space="preserve"> </w:t>
      </w:r>
      <w:r w:rsidR="004B4454">
        <w:rPr>
          <w:lang w:val="en-US"/>
        </w:rPr>
        <w:t xml:space="preserve">further </w:t>
      </w:r>
      <w:r w:rsidR="007369C4">
        <w:rPr>
          <w:lang w:val="en-US"/>
        </w:rPr>
        <w:t xml:space="preserve">discussion </w:t>
      </w:r>
      <w:r w:rsidR="002D6312">
        <w:rPr>
          <w:lang w:val="en-US"/>
        </w:rPr>
        <w:t xml:space="preserve">by the Commission </w:t>
      </w:r>
      <w:r w:rsidR="007369C4">
        <w:rPr>
          <w:lang w:val="en-US"/>
        </w:rPr>
        <w:t xml:space="preserve">on the </w:t>
      </w:r>
      <w:r w:rsidR="00352236">
        <w:rPr>
          <w:lang w:val="en-US"/>
        </w:rPr>
        <w:t>scoping of a potential</w:t>
      </w:r>
      <w:r w:rsidR="004B4454">
        <w:rPr>
          <w:lang w:val="en-US"/>
        </w:rPr>
        <w:t xml:space="preserve"> </w:t>
      </w:r>
      <w:r w:rsidR="00352236">
        <w:rPr>
          <w:lang w:val="en-US"/>
        </w:rPr>
        <w:t>NEP</w:t>
      </w:r>
      <w:r w:rsidR="004B4454">
        <w:rPr>
          <w:lang w:val="en-US"/>
        </w:rPr>
        <w:t xml:space="preserve"> </w:t>
      </w:r>
      <w:r w:rsidR="00101E8B">
        <w:rPr>
          <w:lang w:val="en-US"/>
        </w:rPr>
        <w:t>a</w:t>
      </w:r>
      <w:r w:rsidR="004B4454">
        <w:rPr>
          <w:lang w:val="en-US"/>
        </w:rPr>
        <w:t>mendment</w:t>
      </w:r>
      <w:r w:rsidR="00CC17B3">
        <w:rPr>
          <w:lang w:val="en-US"/>
        </w:rPr>
        <w:t>. T</w:t>
      </w:r>
      <w:r w:rsidR="008A7E69">
        <w:rPr>
          <w:lang w:val="en-US"/>
        </w:rPr>
        <w:t xml:space="preserve">he purpose </w:t>
      </w:r>
      <w:r w:rsidR="00CC17B3">
        <w:rPr>
          <w:lang w:val="en-US"/>
        </w:rPr>
        <w:t xml:space="preserve">of an amendment would be </w:t>
      </w:r>
      <w:r w:rsidR="007B419F">
        <w:rPr>
          <w:lang w:val="en-US"/>
        </w:rPr>
        <w:t xml:space="preserve">to further refine </w:t>
      </w:r>
      <w:r w:rsidR="00041E00">
        <w:rPr>
          <w:lang w:val="en-US"/>
        </w:rPr>
        <w:t xml:space="preserve">and strengthen </w:t>
      </w:r>
      <w:r w:rsidR="007B419F">
        <w:rPr>
          <w:lang w:val="en-US"/>
        </w:rPr>
        <w:t xml:space="preserve">the </w:t>
      </w:r>
      <w:r w:rsidR="00927016">
        <w:rPr>
          <w:lang w:val="en-US"/>
        </w:rPr>
        <w:t xml:space="preserve">framework for </w:t>
      </w:r>
      <w:r w:rsidR="007B419F">
        <w:rPr>
          <w:lang w:val="en-US"/>
        </w:rPr>
        <w:t>agricultur</w:t>
      </w:r>
      <w:r w:rsidR="00927016">
        <w:rPr>
          <w:lang w:val="en-US"/>
        </w:rPr>
        <w:t>e</w:t>
      </w:r>
      <w:r w:rsidR="008A7E69">
        <w:rPr>
          <w:lang w:val="en-US"/>
        </w:rPr>
        <w:t xml:space="preserve"> in the NEP Area</w:t>
      </w:r>
      <w:r w:rsidR="00CC17B3">
        <w:rPr>
          <w:lang w:val="en-US"/>
        </w:rPr>
        <w:t>, while ensuring that the Purpose and Objectives of the Plan are upheld</w:t>
      </w:r>
      <w:r w:rsidR="00927016">
        <w:rPr>
          <w:lang w:val="en-US"/>
        </w:rPr>
        <w:t xml:space="preserve">. </w:t>
      </w:r>
    </w:p>
    <w:p w14:paraId="1170E529" w14:textId="331417C2" w:rsidR="001C0E18" w:rsidRDefault="001C0E18" w:rsidP="00FF266C">
      <w:pPr>
        <w:autoSpaceDE w:val="0"/>
        <w:autoSpaceDN w:val="0"/>
        <w:adjustRightInd w:val="0"/>
        <w:spacing w:after="0"/>
        <w:rPr>
          <w:lang w:val="en-US"/>
        </w:rPr>
      </w:pPr>
    </w:p>
    <w:p w14:paraId="24E03A5B" w14:textId="789CC866" w:rsidR="001C0E18" w:rsidRPr="002E089A" w:rsidRDefault="001C0E18" w:rsidP="00FF266C">
      <w:pPr>
        <w:autoSpaceDE w:val="0"/>
        <w:autoSpaceDN w:val="0"/>
        <w:adjustRightInd w:val="0"/>
        <w:spacing w:after="0"/>
        <w:rPr>
          <w:color w:val="000000" w:themeColor="text1"/>
          <w:lang w:val="en-US"/>
        </w:rPr>
      </w:pPr>
      <w:r w:rsidRPr="002E089A">
        <w:rPr>
          <w:color w:val="000000" w:themeColor="text1"/>
          <w:lang w:val="en-US"/>
        </w:rPr>
        <w:t xml:space="preserve">Staff notes that </w:t>
      </w:r>
      <w:r w:rsidR="00F60DF8" w:rsidRPr="002E089A">
        <w:rPr>
          <w:color w:val="000000" w:themeColor="text1"/>
          <w:lang w:val="en-US"/>
        </w:rPr>
        <w:t>for some of the policy areas discussed herein</w:t>
      </w:r>
      <w:r w:rsidR="005F7ED7" w:rsidRPr="002E089A">
        <w:rPr>
          <w:color w:val="000000" w:themeColor="text1"/>
          <w:lang w:val="en-US"/>
        </w:rPr>
        <w:t xml:space="preserve">, there has not been adequate time to allow for a comprehensive review of the policy </w:t>
      </w:r>
      <w:r w:rsidR="00A21C97" w:rsidRPr="002E089A">
        <w:rPr>
          <w:color w:val="000000" w:themeColor="text1"/>
          <w:lang w:val="en-US"/>
        </w:rPr>
        <w:t>to</w:t>
      </w:r>
      <w:r w:rsidR="005F7ED7" w:rsidRPr="002E089A">
        <w:rPr>
          <w:color w:val="000000" w:themeColor="text1"/>
          <w:lang w:val="en-US"/>
        </w:rPr>
        <w:t xml:space="preserve"> inform a </w:t>
      </w:r>
      <w:r w:rsidR="005F0C29" w:rsidRPr="002E089A">
        <w:rPr>
          <w:color w:val="000000" w:themeColor="text1"/>
          <w:lang w:val="en-US"/>
        </w:rPr>
        <w:t xml:space="preserve">final recommendation </w:t>
      </w:r>
      <w:r w:rsidR="00F60DF8" w:rsidRPr="002E089A">
        <w:rPr>
          <w:color w:val="000000" w:themeColor="text1"/>
          <w:lang w:val="en-US"/>
        </w:rPr>
        <w:t xml:space="preserve">by </w:t>
      </w:r>
      <w:r w:rsidR="001859B4">
        <w:rPr>
          <w:color w:val="000000" w:themeColor="text1"/>
          <w:lang w:val="en-US"/>
        </w:rPr>
        <w:t>s</w:t>
      </w:r>
      <w:r w:rsidR="00F60DF8" w:rsidRPr="002E089A">
        <w:rPr>
          <w:color w:val="000000" w:themeColor="text1"/>
          <w:lang w:val="en-US"/>
        </w:rPr>
        <w:t xml:space="preserve">taff </w:t>
      </w:r>
      <w:r w:rsidR="005F0C29" w:rsidRPr="002E089A">
        <w:rPr>
          <w:color w:val="000000" w:themeColor="text1"/>
          <w:lang w:val="en-US"/>
        </w:rPr>
        <w:t xml:space="preserve">on whether a plan amendment is necessary or appropriate. In these </w:t>
      </w:r>
      <w:r w:rsidR="00A21C97" w:rsidRPr="002E089A">
        <w:rPr>
          <w:color w:val="000000" w:themeColor="text1"/>
          <w:lang w:val="en-US"/>
        </w:rPr>
        <w:t>cases,</w:t>
      </w:r>
      <w:r w:rsidR="005F0C29" w:rsidRPr="002E089A">
        <w:rPr>
          <w:color w:val="000000" w:themeColor="text1"/>
          <w:lang w:val="en-US"/>
        </w:rPr>
        <w:t xml:space="preserve"> </w:t>
      </w:r>
      <w:r w:rsidR="001859B4">
        <w:rPr>
          <w:color w:val="000000" w:themeColor="text1"/>
          <w:lang w:val="en-US"/>
        </w:rPr>
        <w:t>s</w:t>
      </w:r>
      <w:r w:rsidR="005F0C29" w:rsidRPr="002E089A">
        <w:rPr>
          <w:color w:val="000000" w:themeColor="text1"/>
          <w:lang w:val="en-US"/>
        </w:rPr>
        <w:t xml:space="preserve">taff </w:t>
      </w:r>
      <w:r w:rsidR="00710873">
        <w:rPr>
          <w:color w:val="000000" w:themeColor="text1"/>
          <w:lang w:val="en-US"/>
        </w:rPr>
        <w:t xml:space="preserve">has identified </w:t>
      </w:r>
      <w:r w:rsidR="005F0C29" w:rsidRPr="002E089A">
        <w:rPr>
          <w:color w:val="000000" w:themeColor="text1"/>
          <w:lang w:val="en-US"/>
        </w:rPr>
        <w:t>where additional analysis</w:t>
      </w:r>
      <w:r w:rsidR="00710873">
        <w:rPr>
          <w:color w:val="000000" w:themeColor="text1"/>
          <w:lang w:val="en-US"/>
        </w:rPr>
        <w:t>,</w:t>
      </w:r>
      <w:r w:rsidR="005F0C29" w:rsidRPr="002E089A">
        <w:rPr>
          <w:color w:val="000000" w:themeColor="text1"/>
          <w:lang w:val="en-US"/>
        </w:rPr>
        <w:t xml:space="preserve"> </w:t>
      </w:r>
      <w:r w:rsidR="00A21C97" w:rsidRPr="002E089A">
        <w:rPr>
          <w:color w:val="000000" w:themeColor="text1"/>
          <w:lang w:val="en-US"/>
        </w:rPr>
        <w:t xml:space="preserve">as well as </w:t>
      </w:r>
      <w:r w:rsidR="005F0C29" w:rsidRPr="002E089A">
        <w:rPr>
          <w:color w:val="000000" w:themeColor="text1"/>
          <w:lang w:val="en-US"/>
        </w:rPr>
        <w:t>stakeholder and ministry discussions</w:t>
      </w:r>
      <w:r w:rsidR="00710873">
        <w:rPr>
          <w:color w:val="000000" w:themeColor="text1"/>
          <w:lang w:val="en-US"/>
        </w:rPr>
        <w:t>,</w:t>
      </w:r>
      <w:r w:rsidR="005F0C29" w:rsidRPr="002E089A">
        <w:rPr>
          <w:color w:val="000000" w:themeColor="text1"/>
          <w:lang w:val="en-US"/>
        </w:rPr>
        <w:t xml:space="preserve"> would </w:t>
      </w:r>
      <w:r w:rsidR="002E0355" w:rsidRPr="002E089A">
        <w:rPr>
          <w:color w:val="000000" w:themeColor="text1"/>
          <w:lang w:val="en-US"/>
        </w:rPr>
        <w:t xml:space="preserve">be </w:t>
      </w:r>
      <w:r w:rsidR="00F60DF8" w:rsidRPr="002E089A">
        <w:rPr>
          <w:color w:val="000000" w:themeColor="text1"/>
          <w:lang w:val="en-US"/>
        </w:rPr>
        <w:t>beneficial and</w:t>
      </w:r>
      <w:r w:rsidR="002E0355" w:rsidRPr="002E089A">
        <w:rPr>
          <w:color w:val="000000" w:themeColor="text1"/>
          <w:lang w:val="en-US"/>
        </w:rPr>
        <w:t xml:space="preserve"> recommends returning to the Commission with supplemental </w:t>
      </w:r>
      <w:r w:rsidR="00710873">
        <w:rPr>
          <w:color w:val="000000" w:themeColor="text1"/>
          <w:lang w:val="en-US"/>
        </w:rPr>
        <w:t xml:space="preserve">analysis and </w:t>
      </w:r>
      <w:r w:rsidR="002E0355" w:rsidRPr="002E089A">
        <w:rPr>
          <w:color w:val="000000" w:themeColor="text1"/>
          <w:lang w:val="en-US"/>
        </w:rPr>
        <w:t xml:space="preserve">recommendations prior to the preparation of a </w:t>
      </w:r>
      <w:r w:rsidR="00F60DF8" w:rsidRPr="002E089A">
        <w:rPr>
          <w:color w:val="000000" w:themeColor="text1"/>
          <w:lang w:val="en-US"/>
        </w:rPr>
        <w:t xml:space="preserve">proposed </w:t>
      </w:r>
      <w:r w:rsidR="002E0355" w:rsidRPr="002E089A">
        <w:rPr>
          <w:color w:val="000000" w:themeColor="text1"/>
          <w:lang w:val="en-US"/>
        </w:rPr>
        <w:t>amendment</w:t>
      </w:r>
      <w:r w:rsidR="00F60DF8" w:rsidRPr="002E089A">
        <w:rPr>
          <w:color w:val="000000" w:themeColor="text1"/>
          <w:lang w:val="en-US"/>
        </w:rPr>
        <w:t xml:space="preserve"> for the confirmed policy amendment topics</w:t>
      </w:r>
      <w:r w:rsidR="002E0355" w:rsidRPr="002E089A">
        <w:rPr>
          <w:color w:val="000000" w:themeColor="text1"/>
          <w:lang w:val="en-US"/>
        </w:rPr>
        <w:t xml:space="preserve">. </w:t>
      </w:r>
    </w:p>
    <w:p w14:paraId="72093F97" w14:textId="77777777" w:rsidR="002D0584" w:rsidRPr="00CF1F3D" w:rsidRDefault="002D0584" w:rsidP="00CF1F3D">
      <w:pPr>
        <w:autoSpaceDE w:val="0"/>
        <w:autoSpaceDN w:val="0"/>
        <w:adjustRightInd w:val="0"/>
        <w:spacing w:after="0" w:line="240" w:lineRule="auto"/>
        <w:rPr>
          <w:rFonts w:ascii="Arial" w:hAnsi="Arial" w:cs="Arial"/>
          <w:szCs w:val="24"/>
        </w:rPr>
      </w:pPr>
    </w:p>
    <w:p w14:paraId="2DBC8CD9" w14:textId="77777777" w:rsidR="002E0355" w:rsidRDefault="002E0355" w:rsidP="0078718D">
      <w:pPr>
        <w:pStyle w:val="Heading2"/>
        <w:rPr>
          <w:lang w:val="en-US"/>
        </w:rPr>
      </w:pPr>
    </w:p>
    <w:p w14:paraId="44CE033F" w14:textId="77777777" w:rsidR="002E0355" w:rsidRDefault="002E0355" w:rsidP="0078718D">
      <w:pPr>
        <w:pStyle w:val="Heading2"/>
        <w:rPr>
          <w:lang w:val="en-US"/>
        </w:rPr>
      </w:pPr>
    </w:p>
    <w:p w14:paraId="1B37F9A0" w14:textId="77777777" w:rsidR="002E0355" w:rsidRDefault="002E0355" w:rsidP="0078718D">
      <w:pPr>
        <w:pStyle w:val="Heading2"/>
        <w:rPr>
          <w:lang w:val="en-US"/>
        </w:rPr>
      </w:pPr>
    </w:p>
    <w:p w14:paraId="6E178854" w14:textId="4D703389" w:rsidR="00AE1BAF" w:rsidRDefault="00C7752A" w:rsidP="0078718D">
      <w:pPr>
        <w:pStyle w:val="Heading2"/>
        <w:rPr>
          <w:lang w:val="en-US"/>
        </w:rPr>
      </w:pPr>
      <w:r>
        <w:rPr>
          <w:lang w:val="en-US"/>
        </w:rPr>
        <w:lastRenderedPageBreak/>
        <w:t>BACKGROUND:</w:t>
      </w:r>
    </w:p>
    <w:p w14:paraId="11F2419D" w14:textId="77777777" w:rsidR="00D47A1A" w:rsidRPr="00D47A1A" w:rsidRDefault="00D47A1A" w:rsidP="00D47A1A">
      <w:pPr>
        <w:spacing w:after="0"/>
      </w:pPr>
    </w:p>
    <w:p w14:paraId="3ECA9F53" w14:textId="482A87EE" w:rsidR="00CF7C8D" w:rsidRDefault="002A1598" w:rsidP="00F60DF8">
      <w:pPr>
        <w:rPr>
          <w:lang w:val="en-US"/>
        </w:rPr>
      </w:pPr>
      <w:r w:rsidRPr="00D47A1A">
        <w:t>The 2015 Coordinated</w:t>
      </w:r>
      <w:r>
        <w:rPr>
          <w:lang w:val="en-US"/>
        </w:rPr>
        <w:t xml:space="preserve"> </w:t>
      </w:r>
      <w:r w:rsidR="003970AC">
        <w:rPr>
          <w:lang w:val="en-US"/>
        </w:rPr>
        <w:t xml:space="preserve">Land Use </w:t>
      </w:r>
      <w:r>
        <w:rPr>
          <w:lang w:val="en-US"/>
        </w:rPr>
        <w:t>Plan</w:t>
      </w:r>
      <w:r w:rsidR="003970AC">
        <w:rPr>
          <w:lang w:val="en-US"/>
        </w:rPr>
        <w:t>ning</w:t>
      </w:r>
      <w:r>
        <w:rPr>
          <w:lang w:val="en-US"/>
        </w:rPr>
        <w:t xml:space="preserve"> Review resulted in the 2017 NEP and included several changes to agricultural policie</w:t>
      </w:r>
      <w:r w:rsidR="00753242">
        <w:rPr>
          <w:lang w:val="en-US"/>
        </w:rPr>
        <w:t xml:space="preserve">s </w:t>
      </w:r>
      <w:r>
        <w:rPr>
          <w:lang w:val="en-US"/>
        </w:rPr>
        <w:t>to better align with the Provincial Policy Statement</w:t>
      </w:r>
      <w:r w:rsidR="00753242">
        <w:rPr>
          <w:lang w:val="en-US"/>
        </w:rPr>
        <w:t xml:space="preserve">, as well as the other </w:t>
      </w:r>
      <w:r w:rsidR="00101E8B">
        <w:rPr>
          <w:lang w:val="en-US"/>
        </w:rPr>
        <w:t>p</w:t>
      </w:r>
      <w:r w:rsidR="00753242">
        <w:rPr>
          <w:lang w:val="en-US"/>
        </w:rPr>
        <w:t>rovincial land use plans</w:t>
      </w:r>
      <w:r>
        <w:rPr>
          <w:lang w:val="en-US"/>
        </w:rPr>
        <w:t xml:space="preserve">.  Agriculture Related Uses </w:t>
      </w:r>
      <w:r w:rsidR="00753242">
        <w:rPr>
          <w:lang w:val="en-US"/>
        </w:rPr>
        <w:t xml:space="preserve">(ARUs) </w:t>
      </w:r>
      <w:r>
        <w:rPr>
          <w:lang w:val="en-US"/>
        </w:rPr>
        <w:t>and On-Farm Diversified Uses</w:t>
      </w:r>
      <w:r w:rsidR="00753242">
        <w:rPr>
          <w:lang w:val="en-US"/>
        </w:rPr>
        <w:t xml:space="preserve"> (OFDUs)</w:t>
      </w:r>
      <w:r>
        <w:rPr>
          <w:lang w:val="en-US"/>
        </w:rPr>
        <w:t xml:space="preserve"> were added to the NEP</w:t>
      </w:r>
      <w:r w:rsidR="00573283">
        <w:rPr>
          <w:lang w:val="en-US"/>
        </w:rPr>
        <w:t xml:space="preserve"> as Permitted Uses, and new Development Criteria were introduced to guide these uses</w:t>
      </w:r>
      <w:r>
        <w:rPr>
          <w:lang w:val="en-US"/>
        </w:rPr>
        <w:t xml:space="preserve">.  </w:t>
      </w:r>
      <w:r w:rsidR="00983E4F">
        <w:rPr>
          <w:lang w:val="en-US"/>
        </w:rPr>
        <w:t>T</w:t>
      </w:r>
      <w:r w:rsidR="00DE3ED7">
        <w:rPr>
          <w:lang w:val="en-US"/>
        </w:rPr>
        <w:t xml:space="preserve">he policies respecting dwelling </w:t>
      </w:r>
      <w:proofErr w:type="gramStart"/>
      <w:r w:rsidR="00DE3ED7">
        <w:rPr>
          <w:lang w:val="en-US"/>
        </w:rPr>
        <w:t>units</w:t>
      </w:r>
      <w:proofErr w:type="gramEnd"/>
      <w:r w:rsidR="00DE3ED7">
        <w:rPr>
          <w:lang w:val="en-US"/>
        </w:rPr>
        <w:t xml:space="preserve"> accessory to agricultural uses were also enhanced </w:t>
      </w:r>
      <w:r w:rsidR="00983E4F">
        <w:rPr>
          <w:lang w:val="en-US"/>
        </w:rPr>
        <w:t xml:space="preserve">and modernized (see Table </w:t>
      </w:r>
      <w:r w:rsidR="005642C8">
        <w:rPr>
          <w:lang w:val="en-US"/>
        </w:rPr>
        <w:t>2</w:t>
      </w:r>
      <w:r w:rsidR="00983E4F">
        <w:rPr>
          <w:lang w:val="en-US"/>
        </w:rPr>
        <w:t xml:space="preserve"> summary attached). </w:t>
      </w:r>
      <w:r w:rsidR="00A60ACC">
        <w:rPr>
          <w:lang w:val="en-US"/>
        </w:rPr>
        <w:t>In NEC staff’s view, the 2017 NEP</w:t>
      </w:r>
      <w:r w:rsidR="000554D8">
        <w:rPr>
          <w:lang w:val="en-US"/>
        </w:rPr>
        <w:t xml:space="preserve"> policies are </w:t>
      </w:r>
      <w:r w:rsidR="00A60ACC">
        <w:rPr>
          <w:lang w:val="en-US"/>
        </w:rPr>
        <w:t xml:space="preserve">generally </w:t>
      </w:r>
      <w:r w:rsidR="000554D8">
        <w:rPr>
          <w:lang w:val="en-US"/>
        </w:rPr>
        <w:t>more permissive in terms of the types and scale of uses related to agriculture than previously existed in the NEP.</w:t>
      </w:r>
    </w:p>
    <w:p w14:paraId="4718CEBA" w14:textId="60DAE4E3" w:rsidR="002A1598" w:rsidRDefault="002A1598" w:rsidP="00D547A9">
      <w:pPr>
        <w:rPr>
          <w:lang w:val="en-US"/>
        </w:rPr>
      </w:pPr>
      <w:r>
        <w:rPr>
          <w:lang w:val="en-US"/>
        </w:rPr>
        <w:t>Notwithstanding th</w:t>
      </w:r>
      <w:r w:rsidR="00753242">
        <w:rPr>
          <w:lang w:val="en-US"/>
        </w:rPr>
        <w:t xml:space="preserve">ese </w:t>
      </w:r>
      <w:r w:rsidR="00F9723D">
        <w:rPr>
          <w:lang w:val="en-US"/>
        </w:rPr>
        <w:t>enhancements</w:t>
      </w:r>
      <w:r>
        <w:rPr>
          <w:lang w:val="en-US"/>
        </w:rPr>
        <w:t xml:space="preserve">, </w:t>
      </w:r>
      <w:r w:rsidRPr="00A60ACC">
        <w:rPr>
          <w:lang w:val="en-US"/>
        </w:rPr>
        <w:t>some municipalities</w:t>
      </w:r>
      <w:r w:rsidR="0019688D">
        <w:rPr>
          <w:lang w:val="en-US"/>
        </w:rPr>
        <w:t>,</w:t>
      </w:r>
      <w:r>
        <w:rPr>
          <w:lang w:val="en-US"/>
        </w:rPr>
        <w:t xml:space="preserve"> and stakeholders have raised concerns that the NEP policies </w:t>
      </w:r>
      <w:r w:rsidR="00D547A9">
        <w:rPr>
          <w:lang w:val="en-US"/>
        </w:rPr>
        <w:t xml:space="preserve">remain </w:t>
      </w:r>
      <w:r>
        <w:rPr>
          <w:lang w:val="en-US"/>
        </w:rPr>
        <w:t>too restrictive.  As noted in Appendix 1, the Commission has also expressed concern</w:t>
      </w:r>
      <w:r w:rsidR="001E34A3">
        <w:rPr>
          <w:lang w:val="en-US"/>
        </w:rPr>
        <w:t xml:space="preserve"> over the course of the last </w:t>
      </w:r>
      <w:r w:rsidR="00F9723D">
        <w:rPr>
          <w:lang w:val="en-US"/>
        </w:rPr>
        <w:t>four</w:t>
      </w:r>
      <w:r w:rsidR="001E34A3">
        <w:rPr>
          <w:lang w:val="en-US"/>
        </w:rPr>
        <w:t xml:space="preserve"> years </w:t>
      </w:r>
      <w:r w:rsidR="00F9723D">
        <w:rPr>
          <w:lang w:val="en-US"/>
        </w:rPr>
        <w:t xml:space="preserve">in implementing the 2017 </w:t>
      </w:r>
      <w:r w:rsidR="007620E0">
        <w:rPr>
          <w:lang w:val="en-US"/>
        </w:rPr>
        <w:t xml:space="preserve">NEP agriculture </w:t>
      </w:r>
      <w:r w:rsidR="00F9723D">
        <w:rPr>
          <w:lang w:val="en-US"/>
        </w:rPr>
        <w:t>policies</w:t>
      </w:r>
      <w:r>
        <w:rPr>
          <w:lang w:val="en-US"/>
        </w:rPr>
        <w:t>.</w:t>
      </w:r>
    </w:p>
    <w:p w14:paraId="37E0017F" w14:textId="77484FAD" w:rsidR="008D4CB0" w:rsidRPr="008D4CB0" w:rsidRDefault="00F9723D" w:rsidP="008D4CB0">
      <w:pPr>
        <w:rPr>
          <w:rFonts w:cs="Arial"/>
        </w:rPr>
      </w:pPr>
      <w:r>
        <w:rPr>
          <w:rFonts w:cs="Arial"/>
        </w:rPr>
        <w:t xml:space="preserve">Most recently, </w:t>
      </w:r>
      <w:r w:rsidR="00D81347">
        <w:rPr>
          <w:rFonts w:cs="Arial"/>
        </w:rPr>
        <w:t>the Com</w:t>
      </w:r>
      <w:r w:rsidR="00A270DB">
        <w:rPr>
          <w:rFonts w:cs="Arial"/>
        </w:rPr>
        <w:t xml:space="preserve">mission </w:t>
      </w:r>
      <w:r w:rsidR="008D4CB0" w:rsidRPr="008D4CB0">
        <w:rPr>
          <w:rFonts w:cs="Arial"/>
        </w:rPr>
        <w:t xml:space="preserve">endorsed the following </w:t>
      </w:r>
      <w:r w:rsidR="00101E8B">
        <w:rPr>
          <w:rFonts w:cs="Arial"/>
        </w:rPr>
        <w:t>s</w:t>
      </w:r>
      <w:r w:rsidR="008D4CB0" w:rsidRPr="008D4CB0">
        <w:rPr>
          <w:rFonts w:cs="Arial"/>
        </w:rPr>
        <w:t xml:space="preserve">taff </w:t>
      </w:r>
      <w:r w:rsidR="00101E8B">
        <w:rPr>
          <w:rFonts w:cs="Arial"/>
        </w:rPr>
        <w:t>r</w:t>
      </w:r>
      <w:r w:rsidR="008D4CB0" w:rsidRPr="008D4CB0">
        <w:rPr>
          <w:rFonts w:cs="Arial"/>
        </w:rPr>
        <w:t>ecommendations</w:t>
      </w:r>
      <w:r w:rsidR="00D81347">
        <w:rPr>
          <w:rFonts w:cs="Arial"/>
        </w:rPr>
        <w:t xml:space="preserve"> at the September 15, 2021 Commission meeting</w:t>
      </w:r>
      <w:r w:rsidR="008D4CB0" w:rsidRPr="008D4CB0">
        <w:rPr>
          <w:rFonts w:cs="Arial"/>
        </w:rPr>
        <w:t>:</w:t>
      </w:r>
    </w:p>
    <w:p w14:paraId="174AA052" w14:textId="3E896477" w:rsidR="008D4CB0" w:rsidRPr="008D4CB0" w:rsidRDefault="008D4CB0" w:rsidP="008D4CB0">
      <w:pPr>
        <w:rPr>
          <w:rFonts w:cs="Arial"/>
        </w:rPr>
      </w:pPr>
      <w:r w:rsidRPr="008D4CB0">
        <w:rPr>
          <w:rFonts w:cs="Arial"/>
        </w:rPr>
        <w:t>That the Niagara Escarpment Commission:</w:t>
      </w:r>
    </w:p>
    <w:p w14:paraId="24F524FC" w14:textId="681A52C4" w:rsidR="008D4CB0" w:rsidRPr="00B92738" w:rsidRDefault="008D4CB0" w:rsidP="00DC39A6">
      <w:pPr>
        <w:pStyle w:val="ListParagraph"/>
        <w:numPr>
          <w:ilvl w:val="0"/>
          <w:numId w:val="12"/>
        </w:numPr>
        <w:spacing w:after="0"/>
        <w:ind w:left="284" w:hanging="284"/>
        <w:contextualSpacing w:val="0"/>
        <w:rPr>
          <w:rFonts w:cs="Arial"/>
        </w:rPr>
      </w:pPr>
      <w:r w:rsidRPr="00B92738">
        <w:rPr>
          <w:rFonts w:cs="Arial"/>
        </w:rPr>
        <w:t>Request staff return to the November (2021) Policy Meeting with a review and analysis of the agricultural policies of the Niagara Escarpment Plan for the Commission’s review and consideration.</w:t>
      </w:r>
    </w:p>
    <w:p w14:paraId="6B989E0D" w14:textId="1452BF90" w:rsidR="008D4CB0" w:rsidRPr="008D4CB0" w:rsidRDefault="008D4CB0" w:rsidP="00DC39A6">
      <w:pPr>
        <w:pStyle w:val="ListParagraph"/>
        <w:numPr>
          <w:ilvl w:val="0"/>
          <w:numId w:val="12"/>
        </w:numPr>
        <w:spacing w:after="0"/>
        <w:ind w:left="284" w:hanging="284"/>
        <w:contextualSpacing w:val="0"/>
        <w:rPr>
          <w:rFonts w:cs="Arial"/>
        </w:rPr>
      </w:pPr>
      <w:r w:rsidRPr="008D4CB0">
        <w:rPr>
          <w:rFonts w:cs="Arial"/>
        </w:rPr>
        <w:t>Following a review and discussion of agricultural policies, that the Chair write to the Minister to report on the Commission’s experience and concerns regarding agricultural policies of the Niagara Escarpment Plan</w:t>
      </w:r>
      <w:r w:rsidR="00DD3EDE">
        <w:rPr>
          <w:rFonts w:cs="Arial"/>
        </w:rPr>
        <w:t>.</w:t>
      </w:r>
    </w:p>
    <w:p w14:paraId="58F45600" w14:textId="54E61A0B" w:rsidR="008D4CB0" w:rsidRPr="008D4CB0" w:rsidRDefault="008D4CB0" w:rsidP="00DC39A6">
      <w:pPr>
        <w:pStyle w:val="ListParagraph"/>
        <w:numPr>
          <w:ilvl w:val="0"/>
          <w:numId w:val="12"/>
        </w:numPr>
        <w:spacing w:after="0"/>
        <w:ind w:left="284" w:hanging="284"/>
        <w:contextualSpacing w:val="0"/>
        <w:rPr>
          <w:rFonts w:cs="Arial"/>
          <w:bCs/>
        </w:rPr>
      </w:pPr>
      <w:r w:rsidRPr="008D4CB0">
        <w:rPr>
          <w:rFonts w:cs="Arial"/>
        </w:rPr>
        <w:t>Request staff defer preparation of policy guidance related to agricultural policies until the Commission has consider the review and analysis as noted in recommendation #1</w:t>
      </w:r>
      <w:r w:rsidRPr="008D4CB0">
        <w:rPr>
          <w:rFonts w:cs="Arial"/>
          <w:bCs/>
        </w:rPr>
        <w:t>.</w:t>
      </w:r>
    </w:p>
    <w:p w14:paraId="7815240D" w14:textId="35FE9550" w:rsidR="00040FF3" w:rsidRDefault="00040FF3" w:rsidP="00040FF3">
      <w:pPr>
        <w:spacing w:after="0" w:line="240" w:lineRule="auto"/>
        <w:rPr>
          <w:rFonts w:ascii="Arial" w:eastAsia="Calibri" w:hAnsi="Arial" w:cs="Arial"/>
          <w:color w:val="000000"/>
          <w:szCs w:val="24"/>
        </w:rPr>
      </w:pPr>
    </w:p>
    <w:p w14:paraId="48AF28CB" w14:textId="0D55E49A" w:rsidR="00040FF3" w:rsidRPr="00040FF3" w:rsidRDefault="00040FF3" w:rsidP="00040FF3">
      <w:pPr>
        <w:spacing w:after="0"/>
        <w:rPr>
          <w:rFonts w:ascii="Arial" w:eastAsia="Calibri" w:hAnsi="Arial" w:cs="Arial"/>
          <w:b/>
          <w:bCs/>
          <w:color w:val="000000"/>
          <w:szCs w:val="24"/>
        </w:rPr>
      </w:pPr>
      <w:r w:rsidRPr="00040FF3">
        <w:rPr>
          <w:rFonts w:ascii="Arial" w:eastAsia="Calibri" w:hAnsi="Arial" w:cs="Arial"/>
          <w:b/>
          <w:bCs/>
          <w:color w:val="000000"/>
          <w:szCs w:val="24"/>
        </w:rPr>
        <w:t>Policy Guidance Material</w:t>
      </w:r>
    </w:p>
    <w:p w14:paraId="332F9F8B" w14:textId="77777777" w:rsidR="00040FF3" w:rsidRDefault="00040FF3" w:rsidP="00040FF3">
      <w:pPr>
        <w:spacing w:after="0"/>
        <w:rPr>
          <w:rFonts w:ascii="Arial" w:eastAsia="Calibri" w:hAnsi="Arial" w:cs="Arial"/>
          <w:color w:val="000000"/>
          <w:szCs w:val="24"/>
        </w:rPr>
      </w:pPr>
    </w:p>
    <w:p w14:paraId="5F57206F" w14:textId="75B898AD" w:rsidR="00AF67EF" w:rsidRPr="00040FF3" w:rsidRDefault="001662DC" w:rsidP="00AF67EF">
      <w:pPr>
        <w:spacing w:after="0"/>
        <w:rPr>
          <w:b/>
        </w:rPr>
      </w:pPr>
      <w:r w:rsidRPr="000F088B">
        <w:rPr>
          <w:rFonts w:ascii="Arial" w:hAnsi="Arial" w:cs="Arial"/>
          <w:szCs w:val="24"/>
        </w:rPr>
        <w:t xml:space="preserve">Following the release of the 2017 NEP, </w:t>
      </w:r>
      <w:r w:rsidR="009A4219">
        <w:rPr>
          <w:rFonts w:ascii="Arial" w:hAnsi="Arial" w:cs="Arial"/>
          <w:szCs w:val="24"/>
        </w:rPr>
        <w:t xml:space="preserve">NEC </w:t>
      </w:r>
      <w:r w:rsidRPr="000F088B">
        <w:rPr>
          <w:rFonts w:ascii="Arial" w:hAnsi="Arial" w:cs="Arial"/>
          <w:szCs w:val="24"/>
        </w:rPr>
        <w:t xml:space="preserve">staff identified policy gaps where greater detail would be beneficial to ensure consistent interpretation of NEP policies and to ensure the Purpose and Objectives of the </w:t>
      </w:r>
      <w:r w:rsidR="00101E8B">
        <w:rPr>
          <w:rFonts w:ascii="Arial" w:hAnsi="Arial" w:cs="Arial"/>
          <w:szCs w:val="24"/>
        </w:rPr>
        <w:t xml:space="preserve">Niagara Escarpment Planning and Development </w:t>
      </w:r>
      <w:r w:rsidRPr="000F088B">
        <w:rPr>
          <w:rFonts w:ascii="Arial" w:hAnsi="Arial" w:cs="Arial"/>
          <w:szCs w:val="24"/>
        </w:rPr>
        <w:t>Act</w:t>
      </w:r>
      <w:r w:rsidR="00101E8B">
        <w:rPr>
          <w:rFonts w:ascii="Arial" w:hAnsi="Arial" w:cs="Arial"/>
          <w:szCs w:val="24"/>
        </w:rPr>
        <w:t xml:space="preserve"> (NEPDA)</w:t>
      </w:r>
      <w:r w:rsidRPr="000F088B">
        <w:rPr>
          <w:rFonts w:ascii="Arial" w:hAnsi="Arial" w:cs="Arial"/>
          <w:szCs w:val="24"/>
        </w:rPr>
        <w:t xml:space="preserve"> and the Plan are upheld.</w:t>
      </w:r>
      <w:r w:rsidRPr="00BC594C">
        <w:rPr>
          <w:rFonts w:ascii="Arial" w:eastAsia="Calibri" w:hAnsi="Arial" w:cs="Arial"/>
          <w:szCs w:val="24"/>
        </w:rPr>
        <w:t xml:space="preserve"> </w:t>
      </w:r>
      <w:r>
        <w:rPr>
          <w:rFonts w:ascii="Arial" w:eastAsia="Calibri" w:hAnsi="Arial" w:cs="Arial"/>
          <w:szCs w:val="24"/>
        </w:rPr>
        <w:t xml:space="preserve"> </w:t>
      </w:r>
      <w:r w:rsidR="00AF67EF" w:rsidRPr="00040FF3">
        <w:rPr>
          <w:rFonts w:ascii="Arial" w:eastAsia="Calibri" w:hAnsi="Arial" w:cs="Arial"/>
          <w:color w:val="000000"/>
          <w:szCs w:val="24"/>
        </w:rPr>
        <w:t xml:space="preserve">Policy </w:t>
      </w:r>
      <w:r w:rsidR="00101E8B">
        <w:rPr>
          <w:rFonts w:ascii="Arial" w:eastAsia="Calibri" w:hAnsi="Arial" w:cs="Arial"/>
          <w:color w:val="000000"/>
          <w:szCs w:val="24"/>
        </w:rPr>
        <w:t>g</w:t>
      </w:r>
      <w:r w:rsidR="00AF67EF" w:rsidRPr="00040FF3">
        <w:rPr>
          <w:rFonts w:ascii="Arial" w:eastAsia="Calibri" w:hAnsi="Arial" w:cs="Arial"/>
          <w:color w:val="000000"/>
          <w:szCs w:val="24"/>
        </w:rPr>
        <w:t xml:space="preserve">uidelines have been identified as a useful tool </w:t>
      </w:r>
      <w:r w:rsidR="00AF67EF">
        <w:rPr>
          <w:rFonts w:ascii="Arial" w:eastAsia="Calibri" w:hAnsi="Arial" w:cs="Arial"/>
          <w:color w:val="000000"/>
          <w:szCs w:val="24"/>
        </w:rPr>
        <w:t xml:space="preserve">for </w:t>
      </w:r>
      <w:r w:rsidR="00AF67EF" w:rsidRPr="00040FF3">
        <w:rPr>
          <w:rFonts w:ascii="Arial" w:eastAsia="Calibri" w:hAnsi="Arial" w:cs="Arial"/>
          <w:color w:val="000000"/>
          <w:szCs w:val="24"/>
        </w:rPr>
        <w:t>the NEC, applicants</w:t>
      </w:r>
      <w:r w:rsidR="00A21C97">
        <w:rPr>
          <w:rFonts w:ascii="Arial" w:eastAsia="Calibri" w:hAnsi="Arial" w:cs="Arial"/>
          <w:color w:val="000000"/>
          <w:szCs w:val="24"/>
        </w:rPr>
        <w:t>,</w:t>
      </w:r>
      <w:r w:rsidR="00AF67EF" w:rsidRPr="00040FF3">
        <w:rPr>
          <w:rFonts w:ascii="Arial" w:eastAsia="Calibri" w:hAnsi="Arial" w:cs="Arial"/>
          <w:color w:val="000000"/>
          <w:szCs w:val="24"/>
        </w:rPr>
        <w:t xml:space="preserve"> and stakeholders, by providing additional clarity around policy objectives and ensuring consistent policy implementation. </w:t>
      </w:r>
      <w:r w:rsidR="00AF67EF" w:rsidRPr="00040FF3">
        <w:rPr>
          <w:rFonts w:ascii="Arial" w:eastAsia="Calibri" w:hAnsi="Arial" w:cs="Calibri"/>
          <w:szCs w:val="24"/>
        </w:rPr>
        <w:t xml:space="preserve">Policy </w:t>
      </w:r>
      <w:r w:rsidR="00101E8B">
        <w:rPr>
          <w:rFonts w:ascii="Arial" w:eastAsia="Calibri" w:hAnsi="Arial" w:cs="Calibri"/>
          <w:szCs w:val="24"/>
        </w:rPr>
        <w:t>g</w:t>
      </w:r>
      <w:r w:rsidR="00AF67EF" w:rsidRPr="00040FF3">
        <w:rPr>
          <w:rFonts w:ascii="Arial" w:eastAsia="Calibri" w:hAnsi="Arial" w:cs="Calibri"/>
          <w:szCs w:val="24"/>
        </w:rPr>
        <w:t xml:space="preserve">uidelines are used to support the evaluation of all applications against a common set of considerations. They are intended to </w:t>
      </w:r>
      <w:r w:rsidR="00AF67EF" w:rsidRPr="00040FF3">
        <w:rPr>
          <w:rFonts w:ascii="Arial" w:eastAsia="Calibri" w:hAnsi="Arial" w:cs="Arial"/>
          <w:szCs w:val="24"/>
        </w:rPr>
        <w:t xml:space="preserve">clarify, inform, and aid in </w:t>
      </w:r>
      <w:r w:rsidR="00AF67EF" w:rsidRPr="00040FF3">
        <w:rPr>
          <w:rFonts w:ascii="Arial" w:eastAsia="Calibri" w:hAnsi="Arial" w:cs="Arial"/>
          <w:szCs w:val="24"/>
        </w:rPr>
        <w:lastRenderedPageBreak/>
        <w:t xml:space="preserve">the interpretation of NEP policies, but </w:t>
      </w:r>
      <w:r w:rsidR="00AF67EF">
        <w:rPr>
          <w:rFonts w:ascii="Arial" w:eastAsia="Calibri" w:hAnsi="Arial" w:cs="Arial"/>
          <w:szCs w:val="24"/>
        </w:rPr>
        <w:t xml:space="preserve">would </w:t>
      </w:r>
      <w:r w:rsidR="00AF67EF" w:rsidRPr="00040FF3">
        <w:rPr>
          <w:rFonts w:ascii="Arial" w:eastAsia="Calibri" w:hAnsi="Arial" w:cs="Arial"/>
          <w:szCs w:val="24"/>
        </w:rPr>
        <w:t xml:space="preserve">not modify the current NEP policies (as this would require an NEP </w:t>
      </w:r>
      <w:r w:rsidR="00101E8B">
        <w:rPr>
          <w:rFonts w:ascii="Arial" w:eastAsia="Calibri" w:hAnsi="Arial" w:cs="Arial"/>
          <w:szCs w:val="24"/>
        </w:rPr>
        <w:t>a</w:t>
      </w:r>
      <w:r w:rsidR="00AF67EF" w:rsidRPr="00040FF3">
        <w:rPr>
          <w:rFonts w:ascii="Arial" w:eastAsia="Calibri" w:hAnsi="Arial" w:cs="Arial"/>
          <w:szCs w:val="24"/>
        </w:rPr>
        <w:t>mendment).</w:t>
      </w:r>
    </w:p>
    <w:p w14:paraId="492BFCFF" w14:textId="77777777" w:rsidR="00AF67EF" w:rsidRDefault="00AF67EF" w:rsidP="001662DC">
      <w:pPr>
        <w:autoSpaceDE w:val="0"/>
        <w:autoSpaceDN w:val="0"/>
        <w:adjustRightInd w:val="0"/>
        <w:spacing w:after="0"/>
        <w:rPr>
          <w:rFonts w:ascii="Arial" w:eastAsia="Calibri" w:hAnsi="Arial" w:cs="Arial"/>
          <w:szCs w:val="24"/>
        </w:rPr>
      </w:pPr>
    </w:p>
    <w:p w14:paraId="0D312CB6" w14:textId="0CDBE5BC" w:rsidR="001662DC" w:rsidRDefault="001662DC" w:rsidP="001662DC">
      <w:pPr>
        <w:autoSpaceDE w:val="0"/>
        <w:autoSpaceDN w:val="0"/>
        <w:adjustRightInd w:val="0"/>
        <w:spacing w:after="0"/>
        <w:rPr>
          <w:rFonts w:ascii="Arial" w:eastAsia="Calibri" w:hAnsi="Arial" w:cs="Arial"/>
          <w:szCs w:val="24"/>
        </w:rPr>
      </w:pPr>
      <w:r>
        <w:rPr>
          <w:rFonts w:ascii="Arial" w:eastAsia="Calibri" w:hAnsi="Arial" w:cs="Arial"/>
          <w:szCs w:val="24"/>
        </w:rPr>
        <w:t xml:space="preserve">Guidance material related to the NEP </w:t>
      </w:r>
      <w:r w:rsidR="00AF67EF">
        <w:rPr>
          <w:rFonts w:ascii="Arial" w:eastAsia="Calibri" w:hAnsi="Arial" w:cs="Arial"/>
          <w:szCs w:val="24"/>
        </w:rPr>
        <w:t>a</w:t>
      </w:r>
      <w:r>
        <w:rPr>
          <w:rFonts w:ascii="Arial" w:eastAsia="Calibri" w:hAnsi="Arial" w:cs="Arial"/>
          <w:szCs w:val="24"/>
        </w:rPr>
        <w:t xml:space="preserve">gricultural policies </w:t>
      </w:r>
      <w:r w:rsidR="00C05815">
        <w:rPr>
          <w:rFonts w:ascii="Arial" w:eastAsia="Calibri" w:hAnsi="Arial" w:cs="Arial"/>
          <w:szCs w:val="24"/>
        </w:rPr>
        <w:t>p</w:t>
      </w:r>
      <w:r w:rsidR="00BC4AFD">
        <w:rPr>
          <w:rFonts w:ascii="Arial" w:eastAsia="Calibri" w:hAnsi="Arial" w:cs="Arial"/>
          <w:szCs w:val="24"/>
        </w:rPr>
        <w:t>reviously endorsed by the Commission i</w:t>
      </w:r>
      <w:r>
        <w:rPr>
          <w:rFonts w:ascii="Arial" w:eastAsia="Calibri" w:hAnsi="Arial" w:cs="Arial"/>
          <w:szCs w:val="24"/>
        </w:rPr>
        <w:t xml:space="preserve">nclude: </w:t>
      </w:r>
      <w:r w:rsidRPr="00D9300B">
        <w:rPr>
          <w:rFonts w:ascii="Arial" w:eastAsia="Calibri" w:hAnsi="Arial" w:cs="Arial"/>
          <w:b/>
          <w:bCs/>
          <w:szCs w:val="24"/>
        </w:rPr>
        <w:t>On-</w:t>
      </w:r>
      <w:r>
        <w:rPr>
          <w:rFonts w:ascii="Arial" w:eastAsia="Calibri" w:hAnsi="Arial" w:cs="Arial"/>
          <w:b/>
          <w:bCs/>
          <w:szCs w:val="24"/>
        </w:rPr>
        <w:t>F</w:t>
      </w:r>
      <w:r w:rsidRPr="00D9300B">
        <w:rPr>
          <w:rFonts w:ascii="Arial" w:eastAsia="Calibri" w:hAnsi="Arial" w:cs="Arial"/>
          <w:b/>
          <w:bCs/>
          <w:szCs w:val="24"/>
        </w:rPr>
        <w:t xml:space="preserve">arm </w:t>
      </w:r>
      <w:r>
        <w:rPr>
          <w:rFonts w:ascii="Arial" w:eastAsia="Calibri" w:hAnsi="Arial" w:cs="Arial"/>
          <w:b/>
          <w:bCs/>
          <w:szCs w:val="24"/>
        </w:rPr>
        <w:t>D</w:t>
      </w:r>
      <w:r w:rsidRPr="00D9300B">
        <w:rPr>
          <w:rFonts w:ascii="Arial" w:eastAsia="Calibri" w:hAnsi="Arial" w:cs="Arial"/>
          <w:b/>
          <w:bCs/>
          <w:szCs w:val="24"/>
        </w:rPr>
        <w:t xml:space="preserve">iversified </w:t>
      </w:r>
      <w:r>
        <w:rPr>
          <w:rFonts w:ascii="Arial" w:eastAsia="Calibri" w:hAnsi="Arial" w:cs="Arial"/>
          <w:b/>
          <w:bCs/>
          <w:szCs w:val="24"/>
        </w:rPr>
        <w:t>U</w:t>
      </w:r>
      <w:r w:rsidRPr="00D9300B">
        <w:rPr>
          <w:rFonts w:ascii="Arial" w:eastAsia="Calibri" w:hAnsi="Arial" w:cs="Arial"/>
          <w:b/>
          <w:bCs/>
          <w:szCs w:val="24"/>
        </w:rPr>
        <w:t>ses</w:t>
      </w:r>
      <w:r w:rsidRPr="00BC594C">
        <w:rPr>
          <w:rFonts w:ascii="Arial" w:eastAsia="Calibri" w:hAnsi="Arial" w:cs="Arial"/>
          <w:szCs w:val="24"/>
        </w:rPr>
        <w:t xml:space="preserve">, </w:t>
      </w:r>
      <w:r>
        <w:rPr>
          <w:rFonts w:ascii="Arial" w:eastAsia="Calibri" w:hAnsi="Arial" w:cs="Arial"/>
          <w:b/>
          <w:bCs/>
          <w:szCs w:val="24"/>
        </w:rPr>
        <w:t>S</w:t>
      </w:r>
      <w:r w:rsidRPr="00D9300B">
        <w:rPr>
          <w:rFonts w:ascii="Arial" w:eastAsia="Calibri" w:hAnsi="Arial" w:cs="Arial"/>
          <w:b/>
          <w:bCs/>
          <w:szCs w:val="24"/>
        </w:rPr>
        <w:t xml:space="preserve">pecial </w:t>
      </w:r>
      <w:r>
        <w:rPr>
          <w:rFonts w:ascii="Arial" w:eastAsia="Calibri" w:hAnsi="Arial" w:cs="Arial"/>
          <w:b/>
          <w:bCs/>
          <w:szCs w:val="24"/>
        </w:rPr>
        <w:t>Ev</w:t>
      </w:r>
      <w:r w:rsidRPr="00D9300B">
        <w:rPr>
          <w:rFonts w:ascii="Arial" w:eastAsia="Calibri" w:hAnsi="Arial" w:cs="Arial"/>
          <w:b/>
          <w:bCs/>
          <w:szCs w:val="24"/>
        </w:rPr>
        <w:t>ents</w:t>
      </w:r>
      <w:r w:rsidRPr="00BC594C">
        <w:rPr>
          <w:rFonts w:ascii="Arial" w:eastAsia="Calibri" w:hAnsi="Arial" w:cs="Arial"/>
          <w:szCs w:val="24"/>
        </w:rPr>
        <w:t xml:space="preserve">, </w:t>
      </w:r>
      <w:r>
        <w:rPr>
          <w:rFonts w:ascii="Arial" w:eastAsia="Calibri" w:hAnsi="Arial" w:cs="Arial"/>
          <w:szCs w:val="24"/>
        </w:rPr>
        <w:t xml:space="preserve">and </w:t>
      </w:r>
      <w:r w:rsidRPr="00294648">
        <w:rPr>
          <w:rFonts w:ascii="Arial" w:eastAsia="Calibri" w:hAnsi="Arial" w:cs="Arial"/>
          <w:b/>
          <w:bCs/>
          <w:szCs w:val="24"/>
        </w:rPr>
        <w:t xml:space="preserve">Temporary </w:t>
      </w:r>
      <w:r w:rsidRPr="00D9300B">
        <w:rPr>
          <w:rFonts w:ascii="Arial" w:eastAsia="Calibri" w:hAnsi="Arial" w:cs="Arial"/>
          <w:b/>
          <w:bCs/>
          <w:szCs w:val="24"/>
        </w:rPr>
        <w:t>Dwelling Units Accessory to Agricultural Uses</w:t>
      </w:r>
      <w:r>
        <w:rPr>
          <w:rStyle w:val="FootnoteReference"/>
          <w:rFonts w:ascii="Arial" w:eastAsia="Calibri" w:hAnsi="Arial" w:cs="Arial"/>
          <w:b/>
          <w:bCs/>
          <w:szCs w:val="24"/>
        </w:rPr>
        <w:footnoteReference w:id="1"/>
      </w:r>
      <w:r>
        <w:rPr>
          <w:rFonts w:ascii="Arial" w:eastAsia="Calibri" w:hAnsi="Arial" w:cs="Arial"/>
          <w:szCs w:val="24"/>
        </w:rPr>
        <w:t>.  As noted above, the</w:t>
      </w:r>
      <w:r w:rsidR="00111E0B">
        <w:rPr>
          <w:rFonts w:ascii="Arial" w:eastAsia="Calibri" w:hAnsi="Arial" w:cs="Arial"/>
          <w:szCs w:val="24"/>
        </w:rPr>
        <w:t xml:space="preserve"> Commission </w:t>
      </w:r>
      <w:r w:rsidR="0034215F">
        <w:rPr>
          <w:rFonts w:ascii="Arial" w:eastAsia="Calibri" w:hAnsi="Arial" w:cs="Arial"/>
          <w:szCs w:val="24"/>
        </w:rPr>
        <w:t xml:space="preserve">recently </w:t>
      </w:r>
      <w:r>
        <w:rPr>
          <w:rFonts w:ascii="Arial" w:eastAsia="Calibri" w:hAnsi="Arial" w:cs="Arial"/>
          <w:szCs w:val="24"/>
        </w:rPr>
        <w:t>determined that the development of these policies guidelines should be paused</w:t>
      </w:r>
      <w:r w:rsidR="00BC4AFD">
        <w:rPr>
          <w:rFonts w:ascii="Arial" w:eastAsia="Calibri" w:hAnsi="Arial" w:cs="Arial"/>
          <w:szCs w:val="24"/>
        </w:rPr>
        <w:t>,</w:t>
      </w:r>
      <w:r w:rsidR="00111E0B">
        <w:rPr>
          <w:rFonts w:ascii="Arial" w:eastAsia="Calibri" w:hAnsi="Arial" w:cs="Arial"/>
          <w:szCs w:val="24"/>
        </w:rPr>
        <w:t xml:space="preserve"> </w:t>
      </w:r>
      <w:r w:rsidR="00C05815">
        <w:rPr>
          <w:rFonts w:ascii="Arial" w:eastAsia="Calibri" w:hAnsi="Arial" w:cs="Arial"/>
          <w:szCs w:val="24"/>
        </w:rPr>
        <w:t>to</w:t>
      </w:r>
      <w:r w:rsidR="00111E0B">
        <w:rPr>
          <w:rFonts w:ascii="Arial" w:eastAsia="Calibri" w:hAnsi="Arial" w:cs="Arial"/>
          <w:szCs w:val="24"/>
        </w:rPr>
        <w:t xml:space="preserve"> allow the</w:t>
      </w:r>
      <w:r>
        <w:rPr>
          <w:rFonts w:ascii="Arial" w:eastAsia="Calibri" w:hAnsi="Arial" w:cs="Arial"/>
          <w:szCs w:val="24"/>
        </w:rPr>
        <w:t xml:space="preserve"> Commission </w:t>
      </w:r>
      <w:r w:rsidR="0034215F">
        <w:rPr>
          <w:rFonts w:ascii="Arial" w:eastAsia="Calibri" w:hAnsi="Arial" w:cs="Arial"/>
          <w:szCs w:val="24"/>
        </w:rPr>
        <w:t xml:space="preserve">to further consider </w:t>
      </w:r>
      <w:r w:rsidR="00C05815">
        <w:rPr>
          <w:rFonts w:ascii="Arial" w:eastAsia="Calibri" w:hAnsi="Arial" w:cs="Arial"/>
          <w:szCs w:val="24"/>
        </w:rPr>
        <w:t>any policy</w:t>
      </w:r>
      <w:r w:rsidR="00D66982">
        <w:rPr>
          <w:rFonts w:ascii="Arial" w:eastAsia="Calibri" w:hAnsi="Arial" w:cs="Arial"/>
          <w:szCs w:val="24"/>
        </w:rPr>
        <w:t xml:space="preserve"> areas that may be </w:t>
      </w:r>
      <w:r w:rsidR="00BC4AFD">
        <w:rPr>
          <w:rFonts w:ascii="Arial" w:eastAsia="Calibri" w:hAnsi="Arial" w:cs="Arial"/>
          <w:szCs w:val="24"/>
        </w:rPr>
        <w:t xml:space="preserve">more </w:t>
      </w:r>
      <w:r w:rsidR="00E06936">
        <w:rPr>
          <w:rFonts w:ascii="Arial" w:eastAsia="Calibri" w:hAnsi="Arial" w:cs="Arial"/>
          <w:szCs w:val="24"/>
        </w:rPr>
        <w:t xml:space="preserve">appropriately addressed through </w:t>
      </w:r>
      <w:r w:rsidR="00D66982" w:rsidRPr="00E06936">
        <w:rPr>
          <w:rFonts w:ascii="Arial" w:eastAsia="Calibri" w:hAnsi="Arial" w:cs="Arial"/>
          <w:szCs w:val="24"/>
        </w:rPr>
        <w:t>a</w:t>
      </w:r>
      <w:r w:rsidR="00D66982">
        <w:rPr>
          <w:rFonts w:ascii="Arial" w:eastAsia="Calibri" w:hAnsi="Arial" w:cs="Arial"/>
          <w:szCs w:val="24"/>
        </w:rPr>
        <w:t xml:space="preserve"> </w:t>
      </w:r>
      <w:r w:rsidR="00101E8B">
        <w:rPr>
          <w:rFonts w:ascii="Arial" w:eastAsia="Calibri" w:hAnsi="Arial" w:cs="Arial"/>
          <w:szCs w:val="24"/>
        </w:rPr>
        <w:t xml:space="preserve">NEP </w:t>
      </w:r>
      <w:r w:rsidR="00D66982">
        <w:rPr>
          <w:rFonts w:ascii="Arial" w:eastAsia="Calibri" w:hAnsi="Arial" w:cs="Arial"/>
          <w:szCs w:val="24"/>
        </w:rPr>
        <w:t>amendment</w:t>
      </w:r>
      <w:r>
        <w:rPr>
          <w:rFonts w:ascii="Arial" w:eastAsia="Calibri" w:hAnsi="Arial" w:cs="Arial"/>
          <w:szCs w:val="24"/>
        </w:rPr>
        <w:t>.</w:t>
      </w:r>
    </w:p>
    <w:p w14:paraId="1BE30F0F" w14:textId="77777777" w:rsidR="006413EB" w:rsidRDefault="006413EB" w:rsidP="00247034">
      <w:pPr>
        <w:spacing w:after="0" w:line="240" w:lineRule="auto"/>
        <w:rPr>
          <w:rFonts w:ascii="Arial" w:eastAsia="Times New Roman" w:hAnsi="Arial" w:cs="Arial"/>
          <w:b/>
          <w:bCs/>
          <w:szCs w:val="24"/>
        </w:rPr>
      </w:pPr>
    </w:p>
    <w:p w14:paraId="4908B6EA" w14:textId="5F7B651E" w:rsidR="00247034" w:rsidRDefault="00247034" w:rsidP="00247034">
      <w:pPr>
        <w:spacing w:after="0" w:line="240" w:lineRule="auto"/>
        <w:rPr>
          <w:rFonts w:ascii="Arial" w:eastAsia="Times New Roman" w:hAnsi="Arial" w:cs="Arial"/>
          <w:b/>
          <w:bCs/>
          <w:szCs w:val="24"/>
        </w:rPr>
      </w:pPr>
      <w:r>
        <w:rPr>
          <w:rFonts w:ascii="Arial" w:eastAsia="Times New Roman" w:hAnsi="Arial" w:cs="Arial"/>
          <w:b/>
          <w:bCs/>
          <w:szCs w:val="24"/>
        </w:rPr>
        <w:t xml:space="preserve">NEP </w:t>
      </w:r>
      <w:r w:rsidRPr="00247034">
        <w:rPr>
          <w:rFonts w:ascii="Arial" w:eastAsia="Times New Roman" w:hAnsi="Arial" w:cs="Arial"/>
          <w:b/>
          <w:bCs/>
          <w:szCs w:val="24"/>
        </w:rPr>
        <w:t>Agricultural Policy Review</w:t>
      </w:r>
    </w:p>
    <w:p w14:paraId="4B2916D9" w14:textId="025E6E0F" w:rsidR="00EB54EE" w:rsidRDefault="00EB54EE" w:rsidP="00247034">
      <w:pPr>
        <w:spacing w:after="0" w:line="240" w:lineRule="auto"/>
        <w:rPr>
          <w:rFonts w:ascii="Arial" w:eastAsia="Times New Roman" w:hAnsi="Arial" w:cs="Arial"/>
          <w:b/>
          <w:bCs/>
          <w:szCs w:val="24"/>
        </w:rPr>
      </w:pPr>
    </w:p>
    <w:p w14:paraId="7A591592" w14:textId="3D48F3FB" w:rsidR="00A86048" w:rsidRDefault="00EB54EE" w:rsidP="00EB54EE">
      <w:pPr>
        <w:rPr>
          <w:szCs w:val="24"/>
        </w:rPr>
      </w:pPr>
      <w:r w:rsidRPr="00915310">
        <w:rPr>
          <w:szCs w:val="24"/>
        </w:rPr>
        <w:t>One of the seven Objectives of the NEPDA and the NEP speaks to “</w:t>
      </w:r>
      <w:r w:rsidRPr="00915310">
        <w:rPr>
          <w:i/>
          <w:iCs/>
          <w:szCs w:val="24"/>
        </w:rPr>
        <w:t>maintaining and enhancing the open landscape character of the Niagara Escarpment in so far as possible, by such means as compatible farming</w:t>
      </w:r>
      <w:r>
        <w:rPr>
          <w:i/>
          <w:iCs/>
          <w:szCs w:val="24"/>
        </w:rPr>
        <w:t xml:space="preserve"> or forestry, and by preserving the natural scenery.” </w:t>
      </w:r>
      <w:r w:rsidRPr="00915310">
        <w:rPr>
          <w:szCs w:val="24"/>
        </w:rPr>
        <w:t xml:space="preserve"> </w:t>
      </w:r>
      <w:r w:rsidR="0006377C">
        <w:rPr>
          <w:szCs w:val="24"/>
        </w:rPr>
        <w:t xml:space="preserve">This objective is foundational to achieving the Purpose of the Plan and the Act; </w:t>
      </w:r>
      <w:r w:rsidR="0006377C" w:rsidRPr="00B562F5">
        <w:rPr>
          <w:i/>
          <w:iCs/>
          <w:szCs w:val="24"/>
        </w:rPr>
        <w:t xml:space="preserve">to </w:t>
      </w:r>
      <w:r w:rsidR="00EB6939" w:rsidRPr="00B562F5">
        <w:rPr>
          <w:i/>
          <w:iCs/>
          <w:szCs w:val="24"/>
        </w:rPr>
        <w:t>provide for the maintenance of the</w:t>
      </w:r>
      <w:r w:rsidR="0006377C" w:rsidRPr="00B562F5">
        <w:rPr>
          <w:i/>
          <w:iCs/>
          <w:szCs w:val="24"/>
        </w:rPr>
        <w:t xml:space="preserve"> Escarpment </w:t>
      </w:r>
      <w:r w:rsidR="00EB6939" w:rsidRPr="00B562F5">
        <w:rPr>
          <w:i/>
          <w:iCs/>
          <w:szCs w:val="24"/>
        </w:rPr>
        <w:t xml:space="preserve">and land in its vicinity substantially </w:t>
      </w:r>
      <w:r w:rsidR="00FA6580" w:rsidRPr="00B562F5">
        <w:rPr>
          <w:i/>
          <w:iCs/>
          <w:szCs w:val="24"/>
        </w:rPr>
        <w:t xml:space="preserve">as a continuous natural environment, and to ensure </w:t>
      </w:r>
      <w:r w:rsidR="00EB6939" w:rsidRPr="00B562F5">
        <w:rPr>
          <w:i/>
          <w:iCs/>
          <w:szCs w:val="24"/>
        </w:rPr>
        <w:t xml:space="preserve">only </w:t>
      </w:r>
      <w:r w:rsidR="00FA6580" w:rsidRPr="00B562F5">
        <w:rPr>
          <w:i/>
          <w:iCs/>
          <w:szCs w:val="24"/>
        </w:rPr>
        <w:t xml:space="preserve">such development </w:t>
      </w:r>
      <w:r w:rsidR="00EB6939" w:rsidRPr="00B562F5">
        <w:rPr>
          <w:i/>
          <w:iCs/>
          <w:szCs w:val="24"/>
        </w:rPr>
        <w:t xml:space="preserve">occurs as </w:t>
      </w:r>
      <w:r w:rsidR="00FA6580" w:rsidRPr="00B562F5">
        <w:rPr>
          <w:i/>
          <w:iCs/>
          <w:szCs w:val="24"/>
        </w:rPr>
        <w:t xml:space="preserve">is compatible </w:t>
      </w:r>
      <w:r w:rsidR="00EB6939" w:rsidRPr="00B562F5">
        <w:rPr>
          <w:i/>
          <w:iCs/>
          <w:szCs w:val="24"/>
        </w:rPr>
        <w:t xml:space="preserve">with </w:t>
      </w:r>
      <w:r w:rsidR="00B562F5" w:rsidRPr="00B562F5">
        <w:rPr>
          <w:i/>
          <w:iCs/>
          <w:szCs w:val="24"/>
        </w:rPr>
        <w:t>that natural environment.</w:t>
      </w:r>
      <w:r w:rsidR="00B562F5">
        <w:rPr>
          <w:szCs w:val="24"/>
        </w:rPr>
        <w:t xml:space="preserve"> </w:t>
      </w:r>
      <w:r w:rsidR="00101E8B">
        <w:rPr>
          <w:szCs w:val="24"/>
        </w:rPr>
        <w:t>Compatible</w:t>
      </w:r>
      <w:r w:rsidR="00B254F9">
        <w:rPr>
          <w:szCs w:val="24"/>
        </w:rPr>
        <w:t xml:space="preserve"> </w:t>
      </w:r>
      <w:r w:rsidR="00101E8B">
        <w:rPr>
          <w:szCs w:val="24"/>
        </w:rPr>
        <w:t>f</w:t>
      </w:r>
      <w:r w:rsidRPr="00915310">
        <w:rPr>
          <w:szCs w:val="24"/>
        </w:rPr>
        <w:t xml:space="preserve">arming is therefore </w:t>
      </w:r>
      <w:r w:rsidR="00B562F5">
        <w:rPr>
          <w:szCs w:val="24"/>
        </w:rPr>
        <w:t xml:space="preserve">considered </w:t>
      </w:r>
      <w:r w:rsidRPr="00915310">
        <w:rPr>
          <w:szCs w:val="24"/>
        </w:rPr>
        <w:t xml:space="preserve">as a mechanism to achieve </w:t>
      </w:r>
      <w:r w:rsidRPr="00B562F5">
        <w:rPr>
          <w:szCs w:val="24"/>
          <w:u w:val="single"/>
        </w:rPr>
        <w:t xml:space="preserve">an </w:t>
      </w:r>
      <w:r w:rsidRPr="00915310">
        <w:rPr>
          <w:szCs w:val="24"/>
        </w:rPr>
        <w:t xml:space="preserve">Objective of the NEP, but it is not a stand-alone objective, nor is it central to the “environment-first” Purpose of the NEP. </w:t>
      </w:r>
      <w:r w:rsidR="00E76FD7">
        <w:rPr>
          <w:szCs w:val="24"/>
        </w:rPr>
        <w:t xml:space="preserve"> “Compatible” farming </w:t>
      </w:r>
      <w:r w:rsidR="00795B97">
        <w:rPr>
          <w:szCs w:val="24"/>
        </w:rPr>
        <w:t xml:space="preserve">and forestry </w:t>
      </w:r>
      <w:r w:rsidR="00E76FD7">
        <w:rPr>
          <w:szCs w:val="24"/>
        </w:rPr>
        <w:t>may limit the type</w:t>
      </w:r>
      <w:r w:rsidR="00795B97">
        <w:rPr>
          <w:szCs w:val="24"/>
        </w:rPr>
        <w:t>s</w:t>
      </w:r>
      <w:r w:rsidR="00E76FD7">
        <w:rPr>
          <w:szCs w:val="24"/>
        </w:rPr>
        <w:t xml:space="preserve"> of farming</w:t>
      </w:r>
      <w:r w:rsidR="00795B97">
        <w:rPr>
          <w:szCs w:val="24"/>
        </w:rPr>
        <w:t xml:space="preserve"> and forestry operations</w:t>
      </w:r>
      <w:r w:rsidR="00E76FD7">
        <w:rPr>
          <w:szCs w:val="24"/>
        </w:rPr>
        <w:t xml:space="preserve"> </w:t>
      </w:r>
      <w:proofErr w:type="gramStart"/>
      <w:r w:rsidR="00E76FD7">
        <w:rPr>
          <w:szCs w:val="24"/>
        </w:rPr>
        <w:t>in order to</w:t>
      </w:r>
      <w:proofErr w:type="gramEnd"/>
      <w:r w:rsidR="00E76FD7">
        <w:rPr>
          <w:szCs w:val="24"/>
        </w:rPr>
        <w:t xml:space="preserve"> be consistent with the purpose and objectives</w:t>
      </w:r>
      <w:r w:rsidR="00331EC7">
        <w:rPr>
          <w:szCs w:val="24"/>
        </w:rPr>
        <w:t xml:space="preserve"> of the NEP.</w:t>
      </w:r>
    </w:p>
    <w:p w14:paraId="175CD107" w14:textId="39FECB9A" w:rsidR="00EB54EE" w:rsidRDefault="00EB54EE" w:rsidP="00EB54EE">
      <w:pPr>
        <w:rPr>
          <w:szCs w:val="24"/>
        </w:rPr>
      </w:pPr>
      <w:r w:rsidRPr="00915310">
        <w:rPr>
          <w:szCs w:val="24"/>
        </w:rPr>
        <w:t xml:space="preserve">In other words, farming and other forms of compatible development </w:t>
      </w:r>
      <w:r w:rsidRPr="00512795">
        <w:rPr>
          <w:i/>
          <w:iCs/>
          <w:szCs w:val="24"/>
        </w:rPr>
        <w:t xml:space="preserve">may </w:t>
      </w:r>
      <w:r w:rsidRPr="00915310">
        <w:rPr>
          <w:szCs w:val="24"/>
        </w:rPr>
        <w:t xml:space="preserve">take place within the NEP area </w:t>
      </w:r>
      <w:r w:rsidRPr="00512795">
        <w:rPr>
          <w:szCs w:val="24"/>
        </w:rPr>
        <w:t>if t</w:t>
      </w:r>
      <w:r w:rsidRPr="00915310">
        <w:rPr>
          <w:szCs w:val="24"/>
        </w:rPr>
        <w:t xml:space="preserve">hey </w:t>
      </w:r>
      <w:r>
        <w:rPr>
          <w:szCs w:val="24"/>
        </w:rPr>
        <w:t xml:space="preserve">can demonstrate compatibility and </w:t>
      </w:r>
      <w:r w:rsidRPr="00915310">
        <w:rPr>
          <w:szCs w:val="24"/>
        </w:rPr>
        <w:t>support the Purpose and Objectives of the NEP</w:t>
      </w:r>
      <w:r>
        <w:rPr>
          <w:szCs w:val="24"/>
        </w:rPr>
        <w:t xml:space="preserve">. </w:t>
      </w:r>
      <w:r w:rsidRPr="00915310">
        <w:rPr>
          <w:szCs w:val="24"/>
        </w:rPr>
        <w:t xml:space="preserve"> </w:t>
      </w:r>
      <w:r w:rsidRPr="0085442F">
        <w:rPr>
          <w:szCs w:val="24"/>
        </w:rPr>
        <w:t xml:space="preserve">This </w:t>
      </w:r>
      <w:r w:rsidR="00B729C3">
        <w:rPr>
          <w:szCs w:val="24"/>
        </w:rPr>
        <w:t>context</w:t>
      </w:r>
      <w:r w:rsidRPr="0085442F">
        <w:rPr>
          <w:szCs w:val="24"/>
        </w:rPr>
        <w:t xml:space="preserve"> may assist in understanding the lens that is applied to proposed development in the NEP Area, v</w:t>
      </w:r>
      <w:r w:rsidR="00B729C3">
        <w:rPr>
          <w:szCs w:val="24"/>
        </w:rPr>
        <w:t>ersus</w:t>
      </w:r>
      <w:r w:rsidRPr="0085442F">
        <w:rPr>
          <w:szCs w:val="24"/>
        </w:rPr>
        <w:t xml:space="preserve"> those areas outside the NEP Area, where </w:t>
      </w:r>
      <w:r w:rsidR="0006377C">
        <w:rPr>
          <w:szCs w:val="24"/>
        </w:rPr>
        <w:t xml:space="preserve">limitations </w:t>
      </w:r>
      <w:r w:rsidRPr="0085442F">
        <w:rPr>
          <w:szCs w:val="24"/>
        </w:rPr>
        <w:t>may not be necessary or appropriate.</w:t>
      </w:r>
    </w:p>
    <w:p w14:paraId="00AD52F9" w14:textId="42FE736F" w:rsidR="001D5494" w:rsidRDefault="0006377C" w:rsidP="008D04BD">
      <w:pPr>
        <w:rPr>
          <w:szCs w:val="24"/>
        </w:rPr>
      </w:pPr>
      <w:r>
        <w:rPr>
          <w:szCs w:val="24"/>
        </w:rPr>
        <w:t xml:space="preserve">Table 1 below summarizes the </w:t>
      </w:r>
      <w:r w:rsidR="00A86048">
        <w:rPr>
          <w:szCs w:val="24"/>
        </w:rPr>
        <w:t xml:space="preserve">NEC Development Permit History </w:t>
      </w:r>
      <w:r w:rsidR="008D04BD">
        <w:rPr>
          <w:szCs w:val="24"/>
        </w:rPr>
        <w:t xml:space="preserve">for </w:t>
      </w:r>
      <w:r w:rsidR="00B92738">
        <w:rPr>
          <w:szCs w:val="24"/>
        </w:rPr>
        <w:t xml:space="preserve">proposed </w:t>
      </w:r>
      <w:r w:rsidR="008D04BD">
        <w:rPr>
          <w:szCs w:val="24"/>
        </w:rPr>
        <w:t>agricultur</w:t>
      </w:r>
      <w:r w:rsidR="00B92738">
        <w:rPr>
          <w:szCs w:val="24"/>
        </w:rPr>
        <w:t>e/agricultur</w:t>
      </w:r>
      <w:r w:rsidR="00D60180">
        <w:rPr>
          <w:szCs w:val="24"/>
        </w:rPr>
        <w:t>al</w:t>
      </w:r>
      <w:r w:rsidR="00B92738">
        <w:rPr>
          <w:szCs w:val="24"/>
        </w:rPr>
        <w:t xml:space="preserve"> related </w:t>
      </w:r>
      <w:r w:rsidR="008D04BD">
        <w:rPr>
          <w:szCs w:val="24"/>
        </w:rPr>
        <w:t xml:space="preserve">development </w:t>
      </w:r>
      <w:r w:rsidR="00D60180">
        <w:rPr>
          <w:szCs w:val="24"/>
        </w:rPr>
        <w:t>proposal</w:t>
      </w:r>
      <w:r w:rsidR="00B529FC">
        <w:rPr>
          <w:szCs w:val="24"/>
        </w:rPr>
        <w:t xml:space="preserve">s </w:t>
      </w:r>
      <w:r w:rsidR="008D04BD">
        <w:rPr>
          <w:szCs w:val="24"/>
        </w:rPr>
        <w:t xml:space="preserve">since the 2017 NEP came into effect. </w:t>
      </w:r>
      <w:r w:rsidR="003104DA">
        <w:rPr>
          <w:szCs w:val="24"/>
        </w:rPr>
        <w:t>A total of one hundred and sixty (160) Development Permit Applications related to Agricultural Uses have been submitted to the NEC for consideration since June 2017</w:t>
      </w:r>
      <w:r w:rsidR="00BD4E74">
        <w:rPr>
          <w:szCs w:val="24"/>
        </w:rPr>
        <w:t>.</w:t>
      </w:r>
      <w:r w:rsidR="0047785A">
        <w:rPr>
          <w:szCs w:val="24"/>
        </w:rPr>
        <w:t xml:space="preserve"> Of the ninety-eight that completed the </w:t>
      </w:r>
      <w:r w:rsidR="00AA0058">
        <w:rPr>
          <w:szCs w:val="24"/>
        </w:rPr>
        <w:t xml:space="preserve">process (forty-four applications are still under consideration, and eighteen applications were withdrawn/closed), </w:t>
      </w:r>
      <w:r w:rsidR="00FA26F4">
        <w:rPr>
          <w:szCs w:val="24"/>
        </w:rPr>
        <w:t xml:space="preserve">ninety-seven were approved (both Director’s Approvals and Commission supported). Only one DPA was refused by the Commission (on the basis that </w:t>
      </w:r>
      <w:r w:rsidR="00A616AE">
        <w:rPr>
          <w:szCs w:val="24"/>
        </w:rPr>
        <w:t xml:space="preserve">the proposal was not truly an OFDU but rather an institutional operation). </w:t>
      </w:r>
    </w:p>
    <w:p w14:paraId="0A385530" w14:textId="46FAF288" w:rsidR="00D943D2" w:rsidRPr="00FC2EC1" w:rsidRDefault="00D943D2" w:rsidP="00860B45">
      <w:pPr>
        <w:spacing w:after="0" w:line="240" w:lineRule="auto"/>
        <w:ind w:hanging="567"/>
        <w:rPr>
          <w:rFonts w:ascii="Arial" w:eastAsia="Times New Roman" w:hAnsi="Arial" w:cs="Arial"/>
          <w:b/>
          <w:bCs/>
          <w:sz w:val="22"/>
        </w:rPr>
      </w:pPr>
      <w:r w:rsidRPr="00FC2EC1">
        <w:rPr>
          <w:rFonts w:ascii="Arial" w:eastAsia="Times New Roman" w:hAnsi="Arial" w:cs="Arial"/>
          <w:b/>
          <w:bCs/>
          <w:sz w:val="22"/>
        </w:rPr>
        <w:lastRenderedPageBreak/>
        <w:t xml:space="preserve">TABLE 1: Development Permit Application History </w:t>
      </w:r>
      <w:r w:rsidR="00735787" w:rsidRPr="00FC2EC1">
        <w:rPr>
          <w:rFonts w:ascii="Arial" w:eastAsia="Times New Roman" w:hAnsi="Arial" w:cs="Arial"/>
          <w:b/>
          <w:bCs/>
          <w:sz w:val="22"/>
        </w:rPr>
        <w:t>related to Agriculture</w:t>
      </w:r>
      <w:r w:rsidR="00B92738" w:rsidRPr="00FC2EC1">
        <w:rPr>
          <w:rStyle w:val="FootnoteReference"/>
          <w:rFonts w:ascii="Arial" w:eastAsia="Times New Roman" w:hAnsi="Arial" w:cs="Arial"/>
          <w:b/>
          <w:bCs/>
          <w:sz w:val="22"/>
        </w:rPr>
        <w:footnoteReference w:id="2"/>
      </w:r>
    </w:p>
    <w:p w14:paraId="765C5C37" w14:textId="504AB38C" w:rsidR="00DC39A6" w:rsidRPr="00FC2EC1" w:rsidRDefault="00DC39A6" w:rsidP="00247034">
      <w:pPr>
        <w:spacing w:after="0" w:line="240" w:lineRule="auto"/>
        <w:rPr>
          <w:rFonts w:ascii="Arial" w:eastAsia="Times New Roman" w:hAnsi="Arial" w:cs="Arial"/>
          <w:b/>
          <w:bCs/>
          <w:sz w:val="22"/>
        </w:rPr>
      </w:pPr>
    </w:p>
    <w:tbl>
      <w:tblPr>
        <w:tblStyle w:val="TableGrid"/>
        <w:tblW w:w="10542" w:type="dxa"/>
        <w:jc w:val="center"/>
        <w:tblLook w:val="04A0" w:firstRow="1" w:lastRow="0" w:firstColumn="1" w:lastColumn="0" w:noHBand="0" w:noVBand="1"/>
      </w:tblPr>
      <w:tblGrid>
        <w:gridCol w:w="2456"/>
        <w:gridCol w:w="1150"/>
        <w:gridCol w:w="1622"/>
        <w:gridCol w:w="1622"/>
        <w:gridCol w:w="1811"/>
        <w:gridCol w:w="1881"/>
      </w:tblGrid>
      <w:tr w:rsidR="00735787" w:rsidRPr="00FC2EC1" w14:paraId="7A60CB49" w14:textId="2A3C48A6" w:rsidTr="006E5F52">
        <w:trPr>
          <w:jc w:val="center"/>
        </w:trPr>
        <w:tc>
          <w:tcPr>
            <w:tcW w:w="2575" w:type="dxa"/>
          </w:tcPr>
          <w:p w14:paraId="24F0AA25" w14:textId="77777777" w:rsidR="00DE4378" w:rsidRPr="006E5F52" w:rsidRDefault="00DE4378" w:rsidP="00247034">
            <w:pPr>
              <w:rPr>
                <w:rFonts w:eastAsia="Times New Roman"/>
                <w:b/>
                <w:bCs/>
                <w:sz w:val="20"/>
                <w:szCs w:val="20"/>
              </w:rPr>
            </w:pPr>
          </w:p>
        </w:tc>
        <w:tc>
          <w:tcPr>
            <w:tcW w:w="833" w:type="dxa"/>
          </w:tcPr>
          <w:p w14:paraId="3FBC13CD" w14:textId="7D20458D" w:rsidR="00DE4378" w:rsidRPr="006E5F52" w:rsidRDefault="00DE4378" w:rsidP="00735787">
            <w:pPr>
              <w:jc w:val="center"/>
              <w:rPr>
                <w:rFonts w:eastAsia="Times New Roman"/>
                <w:b/>
                <w:bCs/>
                <w:sz w:val="20"/>
                <w:szCs w:val="20"/>
              </w:rPr>
            </w:pPr>
            <w:r w:rsidRPr="006E5F52">
              <w:rPr>
                <w:rFonts w:eastAsia="Times New Roman"/>
                <w:b/>
                <w:bCs/>
                <w:sz w:val="20"/>
                <w:szCs w:val="20"/>
              </w:rPr>
              <w:t>Director’s Approval</w:t>
            </w:r>
          </w:p>
        </w:tc>
        <w:tc>
          <w:tcPr>
            <w:tcW w:w="1657" w:type="dxa"/>
          </w:tcPr>
          <w:p w14:paraId="2D506874" w14:textId="3F4E2846" w:rsidR="00DE4378" w:rsidRPr="006E5F52" w:rsidRDefault="00DE4378" w:rsidP="00735787">
            <w:pPr>
              <w:jc w:val="center"/>
              <w:rPr>
                <w:rFonts w:eastAsia="Times New Roman"/>
                <w:b/>
                <w:bCs/>
                <w:sz w:val="20"/>
                <w:szCs w:val="20"/>
              </w:rPr>
            </w:pPr>
            <w:r w:rsidRPr="006E5F52">
              <w:rPr>
                <w:rFonts w:eastAsia="Times New Roman"/>
                <w:b/>
                <w:bCs/>
                <w:sz w:val="20"/>
                <w:szCs w:val="20"/>
              </w:rPr>
              <w:t>Commission Approval</w:t>
            </w:r>
          </w:p>
        </w:tc>
        <w:tc>
          <w:tcPr>
            <w:tcW w:w="1657" w:type="dxa"/>
          </w:tcPr>
          <w:p w14:paraId="00C400D6" w14:textId="346BD860" w:rsidR="00DE4378" w:rsidRPr="006E5F52" w:rsidRDefault="00DE4378" w:rsidP="00735787">
            <w:pPr>
              <w:jc w:val="center"/>
              <w:rPr>
                <w:rFonts w:eastAsia="Times New Roman"/>
                <w:b/>
                <w:bCs/>
                <w:sz w:val="20"/>
                <w:szCs w:val="20"/>
              </w:rPr>
            </w:pPr>
            <w:r w:rsidRPr="006E5F52">
              <w:rPr>
                <w:rFonts w:eastAsia="Times New Roman"/>
                <w:b/>
                <w:bCs/>
                <w:sz w:val="20"/>
                <w:szCs w:val="20"/>
              </w:rPr>
              <w:t>Commission Refusal</w:t>
            </w:r>
          </w:p>
        </w:tc>
        <w:tc>
          <w:tcPr>
            <w:tcW w:w="1897" w:type="dxa"/>
          </w:tcPr>
          <w:p w14:paraId="0091AA4E" w14:textId="58BAC3D0" w:rsidR="00DE4378" w:rsidRPr="006E5F52" w:rsidRDefault="00BA7D43" w:rsidP="00735787">
            <w:pPr>
              <w:jc w:val="center"/>
              <w:rPr>
                <w:rFonts w:eastAsia="Times New Roman"/>
                <w:b/>
                <w:bCs/>
                <w:sz w:val="20"/>
                <w:szCs w:val="20"/>
              </w:rPr>
            </w:pPr>
            <w:r w:rsidRPr="006E5F52">
              <w:rPr>
                <w:rFonts w:eastAsia="Times New Roman"/>
                <w:b/>
                <w:bCs/>
                <w:sz w:val="20"/>
                <w:szCs w:val="20"/>
              </w:rPr>
              <w:t>In process</w:t>
            </w:r>
            <w:r w:rsidR="00DE4378" w:rsidRPr="006E5F52">
              <w:rPr>
                <w:rFonts w:eastAsia="Times New Roman"/>
                <w:b/>
                <w:bCs/>
                <w:sz w:val="20"/>
                <w:szCs w:val="20"/>
              </w:rPr>
              <w:t xml:space="preserve">/No </w:t>
            </w:r>
            <w:r w:rsidRPr="006E5F52">
              <w:rPr>
                <w:rFonts w:eastAsia="Times New Roman"/>
                <w:b/>
                <w:bCs/>
                <w:sz w:val="20"/>
                <w:szCs w:val="20"/>
              </w:rPr>
              <w:t>d</w:t>
            </w:r>
            <w:r w:rsidR="00DE4378" w:rsidRPr="006E5F52">
              <w:rPr>
                <w:rFonts w:eastAsia="Times New Roman"/>
                <w:b/>
                <w:bCs/>
                <w:sz w:val="20"/>
                <w:szCs w:val="20"/>
              </w:rPr>
              <w:t>ecision</w:t>
            </w:r>
            <w:r w:rsidR="00B11A18" w:rsidRPr="006E5F52">
              <w:rPr>
                <w:rFonts w:eastAsia="Times New Roman"/>
                <w:b/>
                <w:bCs/>
                <w:sz w:val="20"/>
                <w:szCs w:val="20"/>
              </w:rPr>
              <w:t xml:space="preserve"> to date</w:t>
            </w:r>
            <w:r w:rsidR="006F4F24" w:rsidRPr="006E5F52">
              <w:rPr>
                <w:rStyle w:val="FootnoteReference"/>
                <w:rFonts w:eastAsia="Times New Roman"/>
                <w:b/>
                <w:bCs/>
                <w:sz w:val="20"/>
                <w:szCs w:val="20"/>
              </w:rPr>
              <w:footnoteReference w:id="3"/>
            </w:r>
            <w:r w:rsidR="00B11A18" w:rsidRPr="006E5F52">
              <w:rPr>
                <w:rFonts w:eastAsia="Times New Roman"/>
                <w:b/>
                <w:bCs/>
                <w:sz w:val="20"/>
                <w:szCs w:val="20"/>
              </w:rPr>
              <w:t xml:space="preserve"> </w:t>
            </w:r>
          </w:p>
        </w:tc>
        <w:tc>
          <w:tcPr>
            <w:tcW w:w="1923" w:type="dxa"/>
          </w:tcPr>
          <w:p w14:paraId="65BBD63A" w14:textId="75F611BB" w:rsidR="00DE4378" w:rsidRPr="006E5F52" w:rsidRDefault="00DE4378" w:rsidP="00735787">
            <w:pPr>
              <w:jc w:val="center"/>
              <w:rPr>
                <w:rFonts w:eastAsia="Times New Roman"/>
                <w:b/>
                <w:bCs/>
                <w:sz w:val="20"/>
                <w:szCs w:val="20"/>
              </w:rPr>
            </w:pPr>
            <w:r w:rsidRPr="006E5F52">
              <w:rPr>
                <w:rFonts w:eastAsia="Times New Roman"/>
                <w:b/>
                <w:bCs/>
                <w:sz w:val="20"/>
                <w:szCs w:val="20"/>
              </w:rPr>
              <w:t>Withdrawn/File Closed</w:t>
            </w:r>
          </w:p>
        </w:tc>
      </w:tr>
      <w:tr w:rsidR="00735787" w:rsidRPr="00FC2EC1" w14:paraId="53B0AE76" w14:textId="2F9EBE3C" w:rsidTr="006E5F52">
        <w:trPr>
          <w:trHeight w:val="871"/>
          <w:jc w:val="center"/>
        </w:trPr>
        <w:tc>
          <w:tcPr>
            <w:tcW w:w="2575" w:type="dxa"/>
          </w:tcPr>
          <w:p w14:paraId="6E639C8A" w14:textId="2520DF7A" w:rsidR="00DE4378" w:rsidRPr="006E5F52" w:rsidRDefault="00DE4378" w:rsidP="00D943D2">
            <w:pPr>
              <w:rPr>
                <w:rFonts w:eastAsia="Times New Roman"/>
                <w:b/>
                <w:bCs/>
                <w:sz w:val="20"/>
                <w:szCs w:val="20"/>
              </w:rPr>
            </w:pPr>
            <w:r w:rsidRPr="006E5F52">
              <w:rPr>
                <w:rFonts w:eastAsia="Times New Roman"/>
                <w:b/>
                <w:bCs/>
                <w:sz w:val="20"/>
                <w:szCs w:val="20"/>
              </w:rPr>
              <w:t>General Agricultural Uses/Accessory</w:t>
            </w:r>
            <w:r w:rsidR="00C6494F" w:rsidRPr="006E5F52">
              <w:rPr>
                <w:rFonts w:eastAsia="Times New Roman"/>
                <w:b/>
                <w:bCs/>
                <w:sz w:val="20"/>
                <w:szCs w:val="20"/>
              </w:rPr>
              <w:t xml:space="preserve"> </w:t>
            </w:r>
            <w:r w:rsidR="00D47866" w:rsidRPr="006E5F52">
              <w:rPr>
                <w:rFonts w:eastAsia="Times New Roman"/>
                <w:b/>
                <w:bCs/>
                <w:sz w:val="20"/>
                <w:szCs w:val="20"/>
              </w:rPr>
              <w:t>uses to</w:t>
            </w:r>
            <w:r w:rsidRPr="006E5F52">
              <w:rPr>
                <w:rFonts w:eastAsia="Times New Roman"/>
                <w:b/>
                <w:bCs/>
                <w:sz w:val="20"/>
                <w:szCs w:val="20"/>
              </w:rPr>
              <w:t xml:space="preserve"> Agriculture</w:t>
            </w:r>
          </w:p>
        </w:tc>
        <w:tc>
          <w:tcPr>
            <w:tcW w:w="833" w:type="dxa"/>
            <w:vAlign w:val="center"/>
          </w:tcPr>
          <w:p w14:paraId="7E794A99" w14:textId="7D422CF2" w:rsidR="00DE4378" w:rsidRPr="00FB6CF9" w:rsidRDefault="00976721" w:rsidP="00FC2EC1">
            <w:pPr>
              <w:jc w:val="center"/>
              <w:rPr>
                <w:rFonts w:eastAsia="Times New Roman"/>
              </w:rPr>
            </w:pPr>
            <w:r w:rsidRPr="00FB6CF9">
              <w:rPr>
                <w:rFonts w:eastAsia="Times New Roman"/>
              </w:rPr>
              <w:t>6</w:t>
            </w:r>
            <w:r w:rsidR="00B86D96" w:rsidRPr="00FB6CF9">
              <w:rPr>
                <w:rFonts w:eastAsia="Times New Roman"/>
              </w:rPr>
              <w:t>9</w:t>
            </w:r>
          </w:p>
        </w:tc>
        <w:tc>
          <w:tcPr>
            <w:tcW w:w="1657" w:type="dxa"/>
            <w:vAlign w:val="center"/>
          </w:tcPr>
          <w:p w14:paraId="0E2FC227" w14:textId="28BF37BE" w:rsidR="00DE4378" w:rsidRPr="00FB6CF9" w:rsidRDefault="00F40351" w:rsidP="00FC2EC1">
            <w:pPr>
              <w:jc w:val="center"/>
              <w:rPr>
                <w:rFonts w:eastAsia="Times New Roman"/>
              </w:rPr>
            </w:pPr>
            <w:r>
              <w:rPr>
                <w:rFonts w:eastAsia="Times New Roman"/>
              </w:rPr>
              <w:t>8</w:t>
            </w:r>
          </w:p>
        </w:tc>
        <w:tc>
          <w:tcPr>
            <w:tcW w:w="1657" w:type="dxa"/>
            <w:vAlign w:val="center"/>
          </w:tcPr>
          <w:p w14:paraId="5937FB4D" w14:textId="1DA4210C" w:rsidR="00DE4378" w:rsidRPr="00FB6CF9" w:rsidRDefault="003361F4" w:rsidP="00FC2EC1">
            <w:pPr>
              <w:jc w:val="center"/>
              <w:rPr>
                <w:rFonts w:eastAsia="Times New Roman"/>
              </w:rPr>
            </w:pPr>
            <w:r w:rsidRPr="00FB6CF9">
              <w:rPr>
                <w:rFonts w:eastAsia="Times New Roman"/>
              </w:rPr>
              <w:t>0</w:t>
            </w:r>
          </w:p>
        </w:tc>
        <w:tc>
          <w:tcPr>
            <w:tcW w:w="1897" w:type="dxa"/>
            <w:vAlign w:val="center"/>
          </w:tcPr>
          <w:p w14:paraId="4C226DA1" w14:textId="62EBEA60" w:rsidR="00DE4378" w:rsidRPr="00FB6CF9" w:rsidRDefault="00F04136" w:rsidP="00FC2EC1">
            <w:pPr>
              <w:jc w:val="center"/>
              <w:rPr>
                <w:rFonts w:eastAsia="Times New Roman"/>
              </w:rPr>
            </w:pPr>
            <w:r>
              <w:rPr>
                <w:rFonts w:eastAsia="Times New Roman"/>
              </w:rPr>
              <w:t>31</w:t>
            </w:r>
          </w:p>
        </w:tc>
        <w:tc>
          <w:tcPr>
            <w:tcW w:w="1923" w:type="dxa"/>
            <w:vAlign w:val="center"/>
          </w:tcPr>
          <w:p w14:paraId="77F4CDF9" w14:textId="1625E9A0" w:rsidR="00DE4378" w:rsidRPr="00FB6CF9" w:rsidRDefault="00A14D67" w:rsidP="00FC2EC1">
            <w:pPr>
              <w:jc w:val="center"/>
              <w:rPr>
                <w:rFonts w:eastAsia="Times New Roman"/>
              </w:rPr>
            </w:pPr>
            <w:r w:rsidRPr="00FB6CF9">
              <w:rPr>
                <w:rFonts w:eastAsia="Times New Roman"/>
              </w:rPr>
              <w:t>15</w:t>
            </w:r>
          </w:p>
        </w:tc>
      </w:tr>
      <w:tr w:rsidR="00735787" w:rsidRPr="00FC2EC1" w14:paraId="786DEFFC" w14:textId="1B2B4D47" w:rsidTr="006E5F52">
        <w:trPr>
          <w:jc w:val="center"/>
        </w:trPr>
        <w:tc>
          <w:tcPr>
            <w:tcW w:w="2575" w:type="dxa"/>
          </w:tcPr>
          <w:p w14:paraId="6A59379E" w14:textId="77777777" w:rsidR="00DE4378" w:rsidRPr="006E5F52" w:rsidRDefault="00DE4378" w:rsidP="00D943D2">
            <w:pPr>
              <w:rPr>
                <w:rFonts w:eastAsia="Times New Roman"/>
                <w:b/>
                <w:bCs/>
                <w:sz w:val="20"/>
                <w:szCs w:val="20"/>
              </w:rPr>
            </w:pPr>
            <w:r w:rsidRPr="006E5F52">
              <w:rPr>
                <w:rFonts w:eastAsia="Times New Roman"/>
                <w:b/>
                <w:bCs/>
                <w:sz w:val="20"/>
                <w:szCs w:val="20"/>
              </w:rPr>
              <w:t>On-farm Diversified Uses</w:t>
            </w:r>
          </w:p>
          <w:p w14:paraId="3C21B783" w14:textId="4CCC7026" w:rsidR="00DE4378" w:rsidRPr="006E5F52" w:rsidRDefault="00DE4378" w:rsidP="00D943D2">
            <w:pPr>
              <w:rPr>
                <w:rFonts w:eastAsia="Times New Roman"/>
                <w:b/>
                <w:bCs/>
                <w:sz w:val="20"/>
                <w:szCs w:val="20"/>
              </w:rPr>
            </w:pPr>
          </w:p>
        </w:tc>
        <w:tc>
          <w:tcPr>
            <w:tcW w:w="833" w:type="dxa"/>
            <w:vAlign w:val="center"/>
          </w:tcPr>
          <w:p w14:paraId="748A03D7" w14:textId="00C9C7BB" w:rsidR="00DE4378" w:rsidRPr="00FB6CF9" w:rsidRDefault="00D82E4C" w:rsidP="00FC2EC1">
            <w:pPr>
              <w:jc w:val="center"/>
              <w:rPr>
                <w:rFonts w:eastAsia="Times New Roman"/>
              </w:rPr>
            </w:pPr>
            <w:r w:rsidRPr="00FB6CF9">
              <w:rPr>
                <w:rFonts w:eastAsia="Times New Roman"/>
              </w:rPr>
              <w:t>5</w:t>
            </w:r>
          </w:p>
        </w:tc>
        <w:tc>
          <w:tcPr>
            <w:tcW w:w="1657" w:type="dxa"/>
            <w:vAlign w:val="center"/>
          </w:tcPr>
          <w:p w14:paraId="6DC2347B" w14:textId="69C9D97F" w:rsidR="00DE4378" w:rsidRPr="00FB6CF9" w:rsidRDefault="00372263" w:rsidP="00FC2EC1">
            <w:pPr>
              <w:jc w:val="center"/>
              <w:rPr>
                <w:rFonts w:eastAsia="Times New Roman"/>
              </w:rPr>
            </w:pPr>
            <w:r w:rsidRPr="00FB6CF9">
              <w:rPr>
                <w:rFonts w:eastAsia="Times New Roman"/>
              </w:rPr>
              <w:t>4</w:t>
            </w:r>
          </w:p>
        </w:tc>
        <w:tc>
          <w:tcPr>
            <w:tcW w:w="1657" w:type="dxa"/>
            <w:vAlign w:val="center"/>
          </w:tcPr>
          <w:p w14:paraId="4E6449BE" w14:textId="56444FD6" w:rsidR="00DE4378" w:rsidRPr="00FB6CF9" w:rsidRDefault="002D1CDF" w:rsidP="00FC2EC1">
            <w:pPr>
              <w:jc w:val="center"/>
              <w:rPr>
                <w:rFonts w:eastAsia="Times New Roman"/>
              </w:rPr>
            </w:pPr>
            <w:r w:rsidRPr="00FB6CF9">
              <w:rPr>
                <w:rFonts w:eastAsia="Times New Roman"/>
              </w:rPr>
              <w:t>1</w:t>
            </w:r>
            <w:r w:rsidRPr="00FB6CF9">
              <w:rPr>
                <w:rStyle w:val="FootnoteReference"/>
                <w:rFonts w:eastAsia="Times New Roman"/>
              </w:rPr>
              <w:footnoteReference w:id="4"/>
            </w:r>
          </w:p>
        </w:tc>
        <w:tc>
          <w:tcPr>
            <w:tcW w:w="1897" w:type="dxa"/>
            <w:vAlign w:val="center"/>
          </w:tcPr>
          <w:p w14:paraId="4F52B5E7" w14:textId="6EF80BA3" w:rsidR="00DE4378" w:rsidRPr="00FB6CF9" w:rsidRDefault="00FC2EC1" w:rsidP="00FC2EC1">
            <w:pPr>
              <w:jc w:val="center"/>
              <w:rPr>
                <w:rFonts w:eastAsia="Times New Roman"/>
              </w:rPr>
            </w:pPr>
            <w:r w:rsidRPr="00FB6CF9">
              <w:rPr>
                <w:rFonts w:eastAsia="Times New Roman"/>
              </w:rPr>
              <w:t>4</w:t>
            </w:r>
          </w:p>
        </w:tc>
        <w:tc>
          <w:tcPr>
            <w:tcW w:w="1923" w:type="dxa"/>
            <w:vAlign w:val="center"/>
          </w:tcPr>
          <w:p w14:paraId="67406B8A" w14:textId="2D425D73" w:rsidR="00DE4378" w:rsidRPr="00FB6CF9" w:rsidRDefault="00B507D6" w:rsidP="00FC2EC1">
            <w:pPr>
              <w:jc w:val="center"/>
              <w:rPr>
                <w:rFonts w:eastAsia="Times New Roman"/>
              </w:rPr>
            </w:pPr>
            <w:r w:rsidRPr="00FB6CF9">
              <w:rPr>
                <w:rFonts w:eastAsia="Times New Roman"/>
              </w:rPr>
              <w:t>2</w:t>
            </w:r>
          </w:p>
        </w:tc>
      </w:tr>
      <w:tr w:rsidR="00735787" w:rsidRPr="00FC2EC1" w14:paraId="6B69408C" w14:textId="2E85BEC2" w:rsidTr="006E5F52">
        <w:trPr>
          <w:jc w:val="center"/>
        </w:trPr>
        <w:tc>
          <w:tcPr>
            <w:tcW w:w="2575" w:type="dxa"/>
          </w:tcPr>
          <w:p w14:paraId="2C9CA151" w14:textId="215B8391" w:rsidR="00DE4378" w:rsidRPr="006E5F52" w:rsidRDefault="00DE4378" w:rsidP="00D943D2">
            <w:pPr>
              <w:rPr>
                <w:rFonts w:eastAsia="Times New Roman"/>
                <w:b/>
                <w:bCs/>
                <w:sz w:val="20"/>
                <w:szCs w:val="20"/>
              </w:rPr>
            </w:pPr>
            <w:r w:rsidRPr="006E5F52">
              <w:rPr>
                <w:rFonts w:eastAsia="Times New Roman"/>
                <w:b/>
                <w:bCs/>
                <w:sz w:val="20"/>
                <w:szCs w:val="20"/>
              </w:rPr>
              <w:t>Agriculture Related Uses</w:t>
            </w:r>
          </w:p>
        </w:tc>
        <w:tc>
          <w:tcPr>
            <w:tcW w:w="833" w:type="dxa"/>
            <w:vAlign w:val="center"/>
          </w:tcPr>
          <w:p w14:paraId="0FE56331" w14:textId="6CF799E6" w:rsidR="00DE4378" w:rsidRPr="00FB6CF9" w:rsidRDefault="003B3E6C" w:rsidP="00041925">
            <w:pPr>
              <w:jc w:val="center"/>
              <w:rPr>
                <w:rFonts w:eastAsia="Times New Roman"/>
              </w:rPr>
            </w:pPr>
            <w:r w:rsidRPr="00FB6CF9">
              <w:rPr>
                <w:rFonts w:eastAsia="Times New Roman"/>
              </w:rPr>
              <w:t>3</w:t>
            </w:r>
          </w:p>
        </w:tc>
        <w:tc>
          <w:tcPr>
            <w:tcW w:w="1657" w:type="dxa"/>
            <w:vAlign w:val="center"/>
          </w:tcPr>
          <w:p w14:paraId="6E1AFC34" w14:textId="71D7F155" w:rsidR="00DE4378" w:rsidRPr="00FB6CF9" w:rsidRDefault="003B3E6C" w:rsidP="00041925">
            <w:pPr>
              <w:jc w:val="center"/>
              <w:rPr>
                <w:rFonts w:eastAsia="Times New Roman"/>
              </w:rPr>
            </w:pPr>
            <w:r w:rsidRPr="00FB6CF9">
              <w:rPr>
                <w:rFonts w:eastAsia="Times New Roman"/>
              </w:rPr>
              <w:t>1</w:t>
            </w:r>
          </w:p>
        </w:tc>
        <w:tc>
          <w:tcPr>
            <w:tcW w:w="1657" w:type="dxa"/>
            <w:vAlign w:val="center"/>
          </w:tcPr>
          <w:p w14:paraId="1C4A59F1" w14:textId="73DAC7DF" w:rsidR="00DE4378" w:rsidRPr="00FB6CF9" w:rsidRDefault="00B84B42" w:rsidP="00041925">
            <w:pPr>
              <w:jc w:val="center"/>
              <w:rPr>
                <w:rFonts w:eastAsia="Times New Roman"/>
              </w:rPr>
            </w:pPr>
            <w:r w:rsidRPr="00FB6CF9">
              <w:rPr>
                <w:rFonts w:eastAsia="Times New Roman"/>
              </w:rPr>
              <w:t>0</w:t>
            </w:r>
          </w:p>
        </w:tc>
        <w:tc>
          <w:tcPr>
            <w:tcW w:w="1897" w:type="dxa"/>
            <w:vAlign w:val="center"/>
          </w:tcPr>
          <w:p w14:paraId="39DBDCD4" w14:textId="67F9068F" w:rsidR="00DE4378" w:rsidRPr="00FB6CF9" w:rsidRDefault="00041925" w:rsidP="00041925">
            <w:pPr>
              <w:jc w:val="center"/>
              <w:rPr>
                <w:rFonts w:eastAsia="Times New Roman"/>
              </w:rPr>
            </w:pPr>
            <w:r w:rsidRPr="00FB6CF9">
              <w:rPr>
                <w:rFonts w:eastAsia="Times New Roman"/>
              </w:rPr>
              <w:t>6</w:t>
            </w:r>
          </w:p>
        </w:tc>
        <w:tc>
          <w:tcPr>
            <w:tcW w:w="1923" w:type="dxa"/>
            <w:vAlign w:val="center"/>
          </w:tcPr>
          <w:p w14:paraId="5BF3D458" w14:textId="577D88F8" w:rsidR="00DE4378" w:rsidRPr="00FB6CF9" w:rsidRDefault="00041925" w:rsidP="00041925">
            <w:pPr>
              <w:jc w:val="center"/>
              <w:rPr>
                <w:rFonts w:eastAsia="Times New Roman"/>
              </w:rPr>
            </w:pPr>
            <w:r w:rsidRPr="00FB6CF9">
              <w:rPr>
                <w:rFonts w:eastAsia="Times New Roman"/>
              </w:rPr>
              <w:t>1</w:t>
            </w:r>
          </w:p>
        </w:tc>
      </w:tr>
      <w:tr w:rsidR="00735787" w:rsidRPr="00FC2EC1" w14:paraId="46CBE829" w14:textId="14C5EE14" w:rsidTr="006E5F52">
        <w:trPr>
          <w:jc w:val="center"/>
        </w:trPr>
        <w:tc>
          <w:tcPr>
            <w:tcW w:w="2575" w:type="dxa"/>
          </w:tcPr>
          <w:p w14:paraId="256772F4" w14:textId="13BB38EC" w:rsidR="00DE4378" w:rsidRPr="006E5F52" w:rsidRDefault="00DE4378" w:rsidP="00D943D2">
            <w:pPr>
              <w:rPr>
                <w:rFonts w:eastAsia="Times New Roman"/>
                <w:b/>
                <w:bCs/>
                <w:sz w:val="20"/>
                <w:szCs w:val="20"/>
              </w:rPr>
            </w:pPr>
            <w:r w:rsidRPr="006E5F52">
              <w:rPr>
                <w:rFonts w:eastAsia="Times New Roman"/>
                <w:b/>
                <w:bCs/>
                <w:sz w:val="20"/>
                <w:szCs w:val="20"/>
              </w:rPr>
              <w:t>Temporary Dwelling Unit Accessory to Agriculture</w:t>
            </w:r>
          </w:p>
        </w:tc>
        <w:tc>
          <w:tcPr>
            <w:tcW w:w="833" w:type="dxa"/>
            <w:vAlign w:val="center"/>
          </w:tcPr>
          <w:p w14:paraId="0CB1CDE4" w14:textId="0046EF04" w:rsidR="00DE4378" w:rsidRPr="00FB6CF9" w:rsidRDefault="00C12062" w:rsidP="00D943D2">
            <w:pPr>
              <w:jc w:val="center"/>
              <w:rPr>
                <w:rFonts w:eastAsia="Times New Roman"/>
              </w:rPr>
            </w:pPr>
            <w:r w:rsidRPr="00FB6CF9">
              <w:rPr>
                <w:rFonts w:eastAsia="Times New Roman"/>
              </w:rPr>
              <w:t>4</w:t>
            </w:r>
          </w:p>
        </w:tc>
        <w:tc>
          <w:tcPr>
            <w:tcW w:w="1657" w:type="dxa"/>
            <w:vAlign w:val="center"/>
          </w:tcPr>
          <w:p w14:paraId="1C344FBD" w14:textId="4D0BB51D" w:rsidR="00DE4378" w:rsidRPr="00FB6CF9" w:rsidRDefault="00F40351" w:rsidP="00D943D2">
            <w:pPr>
              <w:jc w:val="center"/>
              <w:rPr>
                <w:rFonts w:eastAsia="Times New Roman"/>
              </w:rPr>
            </w:pPr>
            <w:r>
              <w:rPr>
                <w:rFonts w:eastAsia="Times New Roman"/>
              </w:rPr>
              <w:t>3</w:t>
            </w:r>
          </w:p>
        </w:tc>
        <w:tc>
          <w:tcPr>
            <w:tcW w:w="1657" w:type="dxa"/>
            <w:vAlign w:val="center"/>
          </w:tcPr>
          <w:p w14:paraId="1DE3CA12" w14:textId="4F88BE19" w:rsidR="00DE4378" w:rsidRPr="00FB6CF9" w:rsidRDefault="00C12062" w:rsidP="00D943D2">
            <w:pPr>
              <w:jc w:val="center"/>
              <w:rPr>
                <w:rFonts w:eastAsia="Times New Roman"/>
              </w:rPr>
            </w:pPr>
            <w:r w:rsidRPr="00FB6CF9">
              <w:rPr>
                <w:rFonts w:eastAsia="Times New Roman"/>
              </w:rPr>
              <w:t>0</w:t>
            </w:r>
          </w:p>
        </w:tc>
        <w:tc>
          <w:tcPr>
            <w:tcW w:w="1897" w:type="dxa"/>
            <w:vAlign w:val="center"/>
          </w:tcPr>
          <w:p w14:paraId="5D80368B" w14:textId="5B72CA3F" w:rsidR="00DE4378" w:rsidRPr="00FB6CF9" w:rsidRDefault="007F686F" w:rsidP="00D943D2">
            <w:pPr>
              <w:jc w:val="center"/>
              <w:rPr>
                <w:rFonts w:eastAsia="Times New Roman"/>
              </w:rPr>
            </w:pPr>
            <w:r w:rsidRPr="00FB6CF9">
              <w:rPr>
                <w:rFonts w:eastAsia="Times New Roman"/>
              </w:rPr>
              <w:t>3</w:t>
            </w:r>
          </w:p>
        </w:tc>
        <w:tc>
          <w:tcPr>
            <w:tcW w:w="1923" w:type="dxa"/>
            <w:vAlign w:val="center"/>
          </w:tcPr>
          <w:p w14:paraId="084B363B" w14:textId="079128D4" w:rsidR="00DE4378" w:rsidRPr="00FB6CF9" w:rsidRDefault="00D943D2" w:rsidP="00D943D2">
            <w:pPr>
              <w:jc w:val="center"/>
              <w:rPr>
                <w:rFonts w:eastAsia="Times New Roman"/>
              </w:rPr>
            </w:pPr>
            <w:r w:rsidRPr="00FB6CF9">
              <w:rPr>
                <w:rFonts w:eastAsia="Times New Roman"/>
              </w:rPr>
              <w:t>0</w:t>
            </w:r>
          </w:p>
        </w:tc>
      </w:tr>
      <w:tr w:rsidR="00D943D2" w14:paraId="743949D9" w14:textId="77777777" w:rsidTr="00FB6CF9">
        <w:trPr>
          <w:trHeight w:val="477"/>
          <w:jc w:val="center"/>
        </w:trPr>
        <w:tc>
          <w:tcPr>
            <w:tcW w:w="2575" w:type="dxa"/>
            <w:vAlign w:val="center"/>
          </w:tcPr>
          <w:p w14:paraId="799837C2" w14:textId="447D7ABA" w:rsidR="00D943D2" w:rsidRPr="006E5F52" w:rsidRDefault="00D943D2" w:rsidP="00D943D2">
            <w:pPr>
              <w:jc w:val="center"/>
              <w:rPr>
                <w:rFonts w:eastAsia="Times New Roman"/>
                <w:b/>
                <w:bCs/>
                <w:sz w:val="22"/>
                <w:szCs w:val="22"/>
              </w:rPr>
            </w:pPr>
            <w:r w:rsidRPr="006E5F52">
              <w:rPr>
                <w:rFonts w:eastAsia="Times New Roman"/>
                <w:b/>
                <w:bCs/>
                <w:sz w:val="22"/>
                <w:szCs w:val="22"/>
              </w:rPr>
              <w:t>TOTAL</w:t>
            </w:r>
          </w:p>
        </w:tc>
        <w:tc>
          <w:tcPr>
            <w:tcW w:w="833" w:type="dxa"/>
            <w:vAlign w:val="center"/>
          </w:tcPr>
          <w:p w14:paraId="5FA01492" w14:textId="7F06BB9E" w:rsidR="00D943D2" w:rsidRPr="00FB6CF9" w:rsidRDefault="00EF1F0C" w:rsidP="00371B3E">
            <w:pPr>
              <w:jc w:val="center"/>
              <w:rPr>
                <w:rFonts w:eastAsia="Times New Roman"/>
                <w:b/>
                <w:bCs/>
              </w:rPr>
            </w:pPr>
            <w:r w:rsidRPr="00FB6CF9">
              <w:rPr>
                <w:rFonts w:eastAsia="Times New Roman"/>
                <w:b/>
                <w:bCs/>
              </w:rPr>
              <w:t>8</w:t>
            </w:r>
            <w:r w:rsidR="003911A8" w:rsidRPr="00FB6CF9">
              <w:rPr>
                <w:rFonts w:eastAsia="Times New Roman"/>
                <w:b/>
                <w:bCs/>
              </w:rPr>
              <w:t>1</w:t>
            </w:r>
          </w:p>
        </w:tc>
        <w:tc>
          <w:tcPr>
            <w:tcW w:w="1657" w:type="dxa"/>
            <w:vAlign w:val="center"/>
          </w:tcPr>
          <w:p w14:paraId="1B421210" w14:textId="34BBB534" w:rsidR="00D943D2" w:rsidRPr="00FB6CF9" w:rsidRDefault="00E9543D" w:rsidP="00371B3E">
            <w:pPr>
              <w:jc w:val="center"/>
              <w:rPr>
                <w:rFonts w:eastAsia="Times New Roman"/>
                <w:b/>
                <w:bCs/>
              </w:rPr>
            </w:pPr>
            <w:r w:rsidRPr="00FB6CF9">
              <w:rPr>
                <w:rFonts w:eastAsia="Times New Roman"/>
                <w:b/>
                <w:bCs/>
              </w:rPr>
              <w:t>16</w:t>
            </w:r>
          </w:p>
        </w:tc>
        <w:tc>
          <w:tcPr>
            <w:tcW w:w="1657" w:type="dxa"/>
            <w:vAlign w:val="center"/>
          </w:tcPr>
          <w:p w14:paraId="50BBAE4D" w14:textId="2023673B" w:rsidR="00D943D2" w:rsidRPr="00FB6CF9" w:rsidRDefault="00E9543D" w:rsidP="00371B3E">
            <w:pPr>
              <w:jc w:val="center"/>
              <w:rPr>
                <w:rFonts w:eastAsia="Times New Roman"/>
                <w:b/>
                <w:bCs/>
              </w:rPr>
            </w:pPr>
            <w:r w:rsidRPr="00FB6CF9">
              <w:rPr>
                <w:rFonts w:eastAsia="Times New Roman"/>
                <w:b/>
                <w:bCs/>
              </w:rPr>
              <w:t>1</w:t>
            </w:r>
          </w:p>
        </w:tc>
        <w:tc>
          <w:tcPr>
            <w:tcW w:w="1897" w:type="dxa"/>
            <w:vAlign w:val="center"/>
          </w:tcPr>
          <w:p w14:paraId="4B1AAC8B" w14:textId="3F974539" w:rsidR="00D943D2" w:rsidRPr="00FB6CF9" w:rsidRDefault="005F2A80" w:rsidP="00371B3E">
            <w:pPr>
              <w:jc w:val="center"/>
              <w:rPr>
                <w:rFonts w:eastAsia="Times New Roman"/>
                <w:b/>
                <w:bCs/>
              </w:rPr>
            </w:pPr>
            <w:r>
              <w:rPr>
                <w:rFonts w:eastAsia="Times New Roman"/>
                <w:b/>
                <w:bCs/>
              </w:rPr>
              <w:t>44</w:t>
            </w:r>
          </w:p>
        </w:tc>
        <w:tc>
          <w:tcPr>
            <w:tcW w:w="1923" w:type="dxa"/>
            <w:vAlign w:val="center"/>
          </w:tcPr>
          <w:p w14:paraId="595A31E7" w14:textId="36AF2A9E" w:rsidR="00D943D2" w:rsidRPr="00FB6CF9" w:rsidRDefault="00371B3E" w:rsidP="00371B3E">
            <w:pPr>
              <w:jc w:val="center"/>
              <w:rPr>
                <w:rFonts w:eastAsia="Times New Roman"/>
                <w:b/>
                <w:bCs/>
              </w:rPr>
            </w:pPr>
            <w:r w:rsidRPr="00FB6CF9">
              <w:rPr>
                <w:rFonts w:eastAsia="Times New Roman"/>
                <w:b/>
                <w:bCs/>
              </w:rPr>
              <w:t>1</w:t>
            </w:r>
            <w:r w:rsidR="00FB6CF9" w:rsidRPr="00FB6CF9">
              <w:rPr>
                <w:rFonts w:eastAsia="Times New Roman"/>
                <w:b/>
                <w:bCs/>
              </w:rPr>
              <w:t>8</w:t>
            </w:r>
          </w:p>
        </w:tc>
      </w:tr>
    </w:tbl>
    <w:p w14:paraId="149A6906" w14:textId="77777777" w:rsidR="001D5494" w:rsidRDefault="001D5494" w:rsidP="00016A0D">
      <w:pPr>
        <w:spacing w:after="0" w:line="240" w:lineRule="auto"/>
        <w:rPr>
          <w:rFonts w:ascii="Arial" w:eastAsia="Times New Roman" w:hAnsi="Arial" w:cs="Arial"/>
          <w:szCs w:val="24"/>
          <w:u w:val="single"/>
        </w:rPr>
      </w:pPr>
    </w:p>
    <w:p w14:paraId="487B2D07" w14:textId="30D2D4C6" w:rsidR="00CE3E93" w:rsidRPr="00CE3E93" w:rsidRDefault="00F34119" w:rsidP="009A61AC">
      <w:pPr>
        <w:spacing w:after="0"/>
        <w:rPr>
          <w:rFonts w:ascii="Arial" w:eastAsia="Times New Roman" w:hAnsi="Arial" w:cs="Arial"/>
          <w:szCs w:val="24"/>
        </w:rPr>
      </w:pPr>
      <w:r>
        <w:rPr>
          <w:rFonts w:ascii="Arial" w:eastAsia="Times New Roman" w:hAnsi="Arial" w:cs="Arial"/>
          <w:szCs w:val="24"/>
        </w:rPr>
        <w:t>It is notable that o</w:t>
      </w:r>
      <w:r w:rsidR="00CE3E93">
        <w:rPr>
          <w:rFonts w:ascii="Arial" w:eastAsia="Times New Roman" w:hAnsi="Arial" w:cs="Arial"/>
          <w:szCs w:val="24"/>
        </w:rPr>
        <w:t>f the sixteen</w:t>
      </w:r>
      <w:r w:rsidR="00171227">
        <w:rPr>
          <w:rFonts w:ascii="Arial" w:eastAsia="Times New Roman" w:hAnsi="Arial" w:cs="Arial"/>
          <w:szCs w:val="24"/>
        </w:rPr>
        <w:t xml:space="preserve"> DPAs that were before the Commission</w:t>
      </w:r>
      <w:r w:rsidR="009A61AC">
        <w:rPr>
          <w:rFonts w:ascii="Arial" w:eastAsia="Times New Roman" w:hAnsi="Arial" w:cs="Arial"/>
          <w:szCs w:val="24"/>
        </w:rPr>
        <w:t xml:space="preserve"> </w:t>
      </w:r>
      <w:r w:rsidR="004A3B0F">
        <w:rPr>
          <w:rFonts w:ascii="Arial" w:eastAsia="Times New Roman" w:hAnsi="Arial" w:cs="Arial"/>
          <w:szCs w:val="24"/>
        </w:rPr>
        <w:t>for decisions</w:t>
      </w:r>
      <w:r w:rsidR="00171227">
        <w:rPr>
          <w:rFonts w:ascii="Arial" w:eastAsia="Times New Roman" w:hAnsi="Arial" w:cs="Arial"/>
          <w:szCs w:val="24"/>
        </w:rPr>
        <w:t xml:space="preserve">, only four were recommendations </w:t>
      </w:r>
      <w:r w:rsidR="00C64449">
        <w:rPr>
          <w:rFonts w:ascii="Arial" w:eastAsia="Times New Roman" w:hAnsi="Arial" w:cs="Arial"/>
          <w:szCs w:val="24"/>
        </w:rPr>
        <w:t xml:space="preserve">of refusal by NEC </w:t>
      </w:r>
      <w:r w:rsidR="001859B4">
        <w:rPr>
          <w:rFonts w:ascii="Arial" w:eastAsia="Times New Roman" w:hAnsi="Arial" w:cs="Arial"/>
          <w:szCs w:val="24"/>
        </w:rPr>
        <w:t>s</w:t>
      </w:r>
      <w:r w:rsidR="00C64449">
        <w:rPr>
          <w:rFonts w:ascii="Arial" w:eastAsia="Times New Roman" w:hAnsi="Arial" w:cs="Arial"/>
          <w:szCs w:val="24"/>
        </w:rPr>
        <w:t xml:space="preserve">taff. </w:t>
      </w:r>
      <w:r w:rsidR="004A3B0F">
        <w:rPr>
          <w:rFonts w:ascii="Arial" w:eastAsia="Times New Roman" w:hAnsi="Arial" w:cs="Arial"/>
          <w:szCs w:val="24"/>
        </w:rPr>
        <w:t xml:space="preserve">The rest were recommendations of approval by </w:t>
      </w:r>
      <w:r w:rsidR="001F125E">
        <w:rPr>
          <w:rFonts w:ascii="Arial" w:eastAsia="Times New Roman" w:hAnsi="Arial" w:cs="Arial"/>
          <w:szCs w:val="24"/>
        </w:rPr>
        <w:t>staff and</w:t>
      </w:r>
      <w:r w:rsidR="00FF1D36">
        <w:rPr>
          <w:rFonts w:ascii="Arial" w:eastAsia="Times New Roman" w:hAnsi="Arial" w:cs="Arial"/>
          <w:szCs w:val="24"/>
        </w:rPr>
        <w:t xml:space="preserve"> </w:t>
      </w:r>
      <w:r w:rsidR="004A3B0F">
        <w:rPr>
          <w:rFonts w:ascii="Arial" w:eastAsia="Times New Roman" w:hAnsi="Arial" w:cs="Arial"/>
          <w:szCs w:val="24"/>
        </w:rPr>
        <w:t xml:space="preserve">were before the Commission for matters </w:t>
      </w:r>
      <w:r w:rsidR="00FF1D36">
        <w:rPr>
          <w:rFonts w:ascii="Arial" w:eastAsia="Times New Roman" w:hAnsi="Arial" w:cs="Arial"/>
          <w:szCs w:val="24"/>
        </w:rPr>
        <w:t xml:space="preserve">related to policy </w:t>
      </w:r>
      <w:r w:rsidR="004A3B0F">
        <w:rPr>
          <w:rFonts w:ascii="Arial" w:eastAsia="Times New Roman" w:hAnsi="Arial" w:cs="Arial"/>
          <w:szCs w:val="24"/>
        </w:rPr>
        <w:t xml:space="preserve">interpretation, or </w:t>
      </w:r>
      <w:r w:rsidR="00FF1D36">
        <w:rPr>
          <w:rFonts w:ascii="Arial" w:eastAsia="Times New Roman" w:hAnsi="Arial" w:cs="Arial"/>
          <w:szCs w:val="24"/>
        </w:rPr>
        <w:t xml:space="preserve">due to </w:t>
      </w:r>
      <w:r w:rsidR="004A3B0F">
        <w:rPr>
          <w:rFonts w:ascii="Arial" w:eastAsia="Times New Roman" w:hAnsi="Arial" w:cs="Arial"/>
          <w:szCs w:val="24"/>
        </w:rPr>
        <w:t xml:space="preserve">known objections. </w:t>
      </w:r>
      <w:r w:rsidR="00C64449">
        <w:rPr>
          <w:rFonts w:ascii="Arial" w:eastAsia="Times New Roman" w:hAnsi="Arial" w:cs="Arial"/>
          <w:szCs w:val="24"/>
        </w:rPr>
        <w:t>The</w:t>
      </w:r>
      <w:r>
        <w:rPr>
          <w:rFonts w:ascii="Arial" w:eastAsia="Times New Roman" w:hAnsi="Arial" w:cs="Arial"/>
          <w:szCs w:val="24"/>
        </w:rPr>
        <w:t xml:space="preserve"> four </w:t>
      </w:r>
      <w:r w:rsidR="00C64449">
        <w:rPr>
          <w:rFonts w:ascii="Arial" w:eastAsia="Times New Roman" w:hAnsi="Arial" w:cs="Arial"/>
          <w:szCs w:val="24"/>
        </w:rPr>
        <w:t>DPAs where staff recommended refusal</w:t>
      </w:r>
      <w:r>
        <w:rPr>
          <w:rFonts w:ascii="Arial" w:eastAsia="Times New Roman" w:hAnsi="Arial" w:cs="Arial"/>
          <w:szCs w:val="24"/>
        </w:rPr>
        <w:t xml:space="preserve">, </w:t>
      </w:r>
      <w:r w:rsidR="00C64449">
        <w:rPr>
          <w:rFonts w:ascii="Arial" w:eastAsia="Times New Roman" w:hAnsi="Arial" w:cs="Arial"/>
          <w:szCs w:val="24"/>
        </w:rPr>
        <w:t xml:space="preserve">were related to the issue of OFDU </w:t>
      </w:r>
      <w:r>
        <w:rPr>
          <w:rFonts w:ascii="Arial" w:eastAsia="Times New Roman" w:hAnsi="Arial" w:cs="Arial"/>
          <w:szCs w:val="24"/>
        </w:rPr>
        <w:t xml:space="preserve">proposed </w:t>
      </w:r>
      <w:r w:rsidR="00C64449">
        <w:rPr>
          <w:rFonts w:ascii="Arial" w:eastAsia="Times New Roman" w:hAnsi="Arial" w:cs="Arial"/>
          <w:szCs w:val="24"/>
        </w:rPr>
        <w:t>in non</w:t>
      </w:r>
      <w:r w:rsidR="00FE25ED">
        <w:rPr>
          <w:rFonts w:ascii="Arial" w:eastAsia="Times New Roman" w:hAnsi="Arial" w:cs="Arial"/>
          <w:szCs w:val="24"/>
        </w:rPr>
        <w:t xml:space="preserve">-prime agricultural areas in </w:t>
      </w:r>
      <w:r>
        <w:rPr>
          <w:rFonts w:ascii="Arial" w:eastAsia="Times New Roman" w:hAnsi="Arial" w:cs="Arial"/>
          <w:szCs w:val="24"/>
        </w:rPr>
        <w:t xml:space="preserve">the </w:t>
      </w:r>
      <w:r w:rsidR="00FE25ED">
        <w:rPr>
          <w:rFonts w:ascii="Arial" w:eastAsia="Times New Roman" w:hAnsi="Arial" w:cs="Arial"/>
          <w:szCs w:val="24"/>
        </w:rPr>
        <w:t>Escarpment Protection Area</w:t>
      </w:r>
      <w:r w:rsidR="009A61AC">
        <w:rPr>
          <w:rFonts w:ascii="Arial" w:eastAsia="Times New Roman" w:hAnsi="Arial" w:cs="Arial"/>
          <w:szCs w:val="24"/>
        </w:rPr>
        <w:t xml:space="preserve"> (two DPAs)</w:t>
      </w:r>
      <w:r w:rsidR="00FE25ED">
        <w:rPr>
          <w:rFonts w:ascii="Arial" w:eastAsia="Times New Roman" w:hAnsi="Arial" w:cs="Arial"/>
          <w:szCs w:val="24"/>
        </w:rPr>
        <w:t xml:space="preserve">, a temporary dwelling unit related to agricultural uses (where no agricultural use had been established), </w:t>
      </w:r>
      <w:r w:rsidR="009A61AC">
        <w:rPr>
          <w:rFonts w:ascii="Arial" w:eastAsia="Times New Roman" w:hAnsi="Arial" w:cs="Arial"/>
          <w:szCs w:val="24"/>
        </w:rPr>
        <w:t>and</w:t>
      </w:r>
      <w:r>
        <w:rPr>
          <w:rFonts w:ascii="Arial" w:eastAsia="Times New Roman" w:hAnsi="Arial" w:cs="Arial"/>
          <w:szCs w:val="24"/>
        </w:rPr>
        <w:t xml:space="preserve"> proposal for an</w:t>
      </w:r>
      <w:r w:rsidR="009A61AC">
        <w:rPr>
          <w:rFonts w:ascii="Arial" w:eastAsia="Times New Roman" w:hAnsi="Arial" w:cs="Arial"/>
          <w:szCs w:val="24"/>
        </w:rPr>
        <w:t xml:space="preserve"> agricultural use within an Earth Science ANSI. These files </w:t>
      </w:r>
      <w:r w:rsidR="00C64449">
        <w:rPr>
          <w:rFonts w:ascii="Arial" w:eastAsia="Times New Roman" w:hAnsi="Arial" w:cs="Arial"/>
          <w:szCs w:val="24"/>
        </w:rPr>
        <w:t>are discussed</w:t>
      </w:r>
      <w:r w:rsidR="009A61AC">
        <w:rPr>
          <w:rFonts w:ascii="Arial" w:eastAsia="Times New Roman" w:hAnsi="Arial" w:cs="Arial"/>
          <w:szCs w:val="24"/>
        </w:rPr>
        <w:t xml:space="preserve"> in more detail in the applicable sections below. </w:t>
      </w:r>
    </w:p>
    <w:p w14:paraId="6B46E3C1" w14:textId="77777777" w:rsidR="00CE3E93" w:rsidRDefault="00CE3E93" w:rsidP="00016A0D">
      <w:pPr>
        <w:spacing w:after="0" w:line="240" w:lineRule="auto"/>
        <w:rPr>
          <w:rFonts w:ascii="Arial" w:eastAsia="Times New Roman" w:hAnsi="Arial" w:cs="Arial"/>
          <w:szCs w:val="24"/>
          <w:u w:val="single"/>
        </w:rPr>
      </w:pPr>
    </w:p>
    <w:p w14:paraId="083E2B33" w14:textId="387B3FAF" w:rsidR="008B1978" w:rsidRPr="00016A0D" w:rsidRDefault="00BC43E6" w:rsidP="00016A0D">
      <w:pPr>
        <w:spacing w:after="0" w:line="240" w:lineRule="auto"/>
        <w:rPr>
          <w:rFonts w:ascii="Arial" w:eastAsia="Times New Roman" w:hAnsi="Arial" w:cs="Arial"/>
          <w:szCs w:val="24"/>
          <w:u w:val="single"/>
        </w:rPr>
      </w:pPr>
      <w:r w:rsidRPr="00016A0D">
        <w:rPr>
          <w:rFonts w:ascii="Arial" w:eastAsia="Times New Roman" w:hAnsi="Arial" w:cs="Arial"/>
          <w:szCs w:val="24"/>
          <w:u w:val="single"/>
        </w:rPr>
        <w:t>On</w:t>
      </w:r>
      <w:r w:rsidR="009C778E" w:rsidRPr="00016A0D">
        <w:rPr>
          <w:rFonts w:ascii="Arial" w:eastAsia="Times New Roman" w:hAnsi="Arial" w:cs="Arial"/>
          <w:szCs w:val="24"/>
          <w:u w:val="single"/>
        </w:rPr>
        <w:t>-</w:t>
      </w:r>
      <w:r w:rsidRPr="00016A0D">
        <w:rPr>
          <w:rFonts w:ascii="Arial" w:eastAsia="Times New Roman" w:hAnsi="Arial" w:cs="Arial"/>
          <w:szCs w:val="24"/>
          <w:u w:val="single"/>
        </w:rPr>
        <w:t>Farm Diversified Uses</w:t>
      </w:r>
      <w:r w:rsidR="00C037F6" w:rsidRPr="00016A0D">
        <w:rPr>
          <w:rFonts w:ascii="Arial" w:eastAsia="Times New Roman" w:hAnsi="Arial" w:cs="Arial"/>
          <w:szCs w:val="24"/>
          <w:u w:val="single"/>
        </w:rPr>
        <w:t xml:space="preserve"> </w:t>
      </w:r>
      <w:r w:rsidR="00542264" w:rsidRPr="00016A0D">
        <w:rPr>
          <w:rFonts w:ascii="Arial" w:eastAsia="Times New Roman" w:hAnsi="Arial" w:cs="Arial"/>
          <w:szCs w:val="24"/>
          <w:u w:val="single"/>
        </w:rPr>
        <w:t xml:space="preserve">and Agriculture Related Uses </w:t>
      </w:r>
    </w:p>
    <w:p w14:paraId="52150ECB" w14:textId="0CE56EE7" w:rsidR="00BC43E6" w:rsidRDefault="00BC43E6" w:rsidP="009248AC">
      <w:pPr>
        <w:spacing w:after="0" w:line="240" w:lineRule="auto"/>
        <w:rPr>
          <w:rFonts w:ascii="Arial" w:eastAsia="Times New Roman" w:hAnsi="Arial" w:cs="Arial"/>
          <w:szCs w:val="24"/>
          <w:u w:val="single"/>
        </w:rPr>
      </w:pPr>
    </w:p>
    <w:p w14:paraId="358C9CCA" w14:textId="5CF85DB6" w:rsidR="00247034" w:rsidRDefault="00B55687" w:rsidP="00CC4C08">
      <w:pPr>
        <w:pStyle w:val="Header"/>
        <w:spacing w:line="276" w:lineRule="auto"/>
        <w:rPr>
          <w:rFonts w:ascii="Arial" w:hAnsi="Arial" w:cs="Arial"/>
          <w:i/>
          <w:iCs/>
          <w:szCs w:val="24"/>
        </w:rPr>
      </w:pPr>
      <w:r w:rsidRPr="009E3CC4">
        <w:rPr>
          <w:rFonts w:ascii="Arial" w:hAnsi="Arial" w:cs="Arial"/>
          <w:color w:val="000000" w:themeColor="text1"/>
          <w:szCs w:val="24"/>
          <w:lang w:val="en-US"/>
        </w:rPr>
        <w:t xml:space="preserve">NEP </w:t>
      </w:r>
      <w:r w:rsidR="00BC43E6" w:rsidRPr="009E3CC4">
        <w:rPr>
          <w:rFonts w:ascii="Arial" w:hAnsi="Arial" w:cs="Arial"/>
          <w:color w:val="000000" w:themeColor="text1"/>
          <w:szCs w:val="24"/>
          <w:lang w:val="en-US"/>
        </w:rPr>
        <w:t xml:space="preserve">Part 1.4.3.2 Escarpment Protection Area identifies </w:t>
      </w:r>
      <w:r w:rsidR="003A0258">
        <w:rPr>
          <w:rFonts w:ascii="Arial" w:hAnsi="Arial" w:cs="Arial"/>
          <w:color w:val="000000" w:themeColor="text1"/>
          <w:szCs w:val="24"/>
          <w:lang w:val="en-US"/>
        </w:rPr>
        <w:t>o</w:t>
      </w:r>
      <w:r w:rsidR="00BC43E6" w:rsidRPr="009E3CC4">
        <w:rPr>
          <w:rFonts w:ascii="Arial" w:hAnsi="Arial" w:cs="Arial"/>
          <w:color w:val="000000" w:themeColor="text1"/>
          <w:szCs w:val="24"/>
          <w:lang w:val="en-US"/>
        </w:rPr>
        <w:t xml:space="preserve">n-farm diversified uses </w:t>
      </w:r>
      <w:r w:rsidR="004F7526" w:rsidRPr="009E3CC4">
        <w:rPr>
          <w:rFonts w:ascii="Arial" w:hAnsi="Arial" w:cs="Arial"/>
          <w:color w:val="000000" w:themeColor="text1"/>
          <w:szCs w:val="24"/>
          <w:lang w:val="en-US"/>
        </w:rPr>
        <w:t xml:space="preserve">and </w:t>
      </w:r>
      <w:r w:rsidRPr="009E3CC4">
        <w:rPr>
          <w:rFonts w:ascii="Arial" w:hAnsi="Arial" w:cs="Arial"/>
          <w:color w:val="000000" w:themeColor="text1"/>
          <w:szCs w:val="24"/>
          <w:lang w:val="en-US"/>
        </w:rPr>
        <w:t xml:space="preserve">agriculture related uses </w:t>
      </w:r>
      <w:r w:rsidR="00BC43E6" w:rsidRPr="009E3CC4">
        <w:rPr>
          <w:rFonts w:ascii="Arial" w:hAnsi="Arial" w:cs="Arial"/>
          <w:color w:val="000000" w:themeColor="text1"/>
          <w:szCs w:val="24"/>
          <w:lang w:val="en-US"/>
        </w:rPr>
        <w:t>as Permitted Use</w:t>
      </w:r>
      <w:r w:rsidRPr="009E3CC4">
        <w:rPr>
          <w:rFonts w:ascii="Arial" w:hAnsi="Arial" w:cs="Arial"/>
          <w:color w:val="000000" w:themeColor="text1"/>
          <w:szCs w:val="24"/>
          <w:lang w:val="en-US"/>
        </w:rPr>
        <w:t>s</w:t>
      </w:r>
      <w:r w:rsidR="00BC43E6" w:rsidRPr="009E3CC4">
        <w:rPr>
          <w:rFonts w:ascii="Arial" w:hAnsi="Arial" w:cs="Arial"/>
          <w:color w:val="000000" w:themeColor="text1"/>
          <w:szCs w:val="24"/>
          <w:lang w:val="en-US"/>
        </w:rPr>
        <w:t xml:space="preserve"> in </w:t>
      </w:r>
      <w:r w:rsidR="003A0258">
        <w:rPr>
          <w:rFonts w:ascii="Arial" w:hAnsi="Arial" w:cs="Arial"/>
          <w:color w:val="000000" w:themeColor="text1"/>
          <w:szCs w:val="24"/>
          <w:lang w:val="en-US"/>
        </w:rPr>
        <w:t xml:space="preserve">the </w:t>
      </w:r>
      <w:r w:rsidR="00BC43E6" w:rsidRPr="009E3CC4">
        <w:rPr>
          <w:rFonts w:ascii="Arial" w:hAnsi="Arial" w:cs="Arial"/>
          <w:color w:val="000000" w:themeColor="text1"/>
          <w:szCs w:val="24"/>
          <w:lang w:val="en-US"/>
        </w:rPr>
        <w:t xml:space="preserve">Escarpment Protection Area, </w:t>
      </w:r>
      <w:r w:rsidR="00BC43E6" w:rsidRPr="009E3CC4">
        <w:rPr>
          <w:rFonts w:ascii="Arial" w:hAnsi="Arial" w:cs="Arial"/>
          <w:i/>
          <w:iCs/>
          <w:color w:val="000000" w:themeColor="text1"/>
          <w:szCs w:val="24"/>
          <w:u w:val="single"/>
          <w:lang w:val="en-US"/>
        </w:rPr>
        <w:t>i</w:t>
      </w:r>
      <w:r w:rsidR="001D14E8" w:rsidRPr="009E3CC4">
        <w:rPr>
          <w:rFonts w:ascii="Arial" w:hAnsi="Arial" w:cs="Arial"/>
          <w:i/>
          <w:iCs/>
          <w:color w:val="000000" w:themeColor="text1"/>
          <w:szCs w:val="24"/>
          <w:u w:val="single"/>
          <w:lang w:val="en-US"/>
        </w:rPr>
        <w:t>n</w:t>
      </w:r>
      <w:r w:rsidR="00BC43E6" w:rsidRPr="009E3CC4">
        <w:rPr>
          <w:rFonts w:ascii="Arial" w:hAnsi="Arial" w:cs="Arial"/>
          <w:i/>
          <w:iCs/>
          <w:color w:val="000000" w:themeColor="text1"/>
          <w:szCs w:val="24"/>
          <w:u w:val="single"/>
          <w:lang w:val="en-US"/>
        </w:rPr>
        <w:t xml:space="preserve"> </w:t>
      </w:r>
      <w:r w:rsidR="001D14E8" w:rsidRPr="009E3CC4">
        <w:rPr>
          <w:rFonts w:ascii="Arial" w:hAnsi="Arial" w:cs="Arial"/>
          <w:i/>
          <w:iCs/>
          <w:color w:val="000000" w:themeColor="text1"/>
          <w:szCs w:val="24"/>
          <w:u w:val="single"/>
          <w:lang w:val="en-US"/>
        </w:rPr>
        <w:t>p</w:t>
      </w:r>
      <w:r w:rsidR="00BC43E6" w:rsidRPr="009E3CC4">
        <w:rPr>
          <w:rFonts w:ascii="Arial" w:hAnsi="Arial" w:cs="Arial"/>
          <w:i/>
          <w:iCs/>
          <w:color w:val="000000" w:themeColor="text1"/>
          <w:szCs w:val="24"/>
          <w:u w:val="single"/>
          <w:lang w:val="en-US"/>
        </w:rPr>
        <w:t>rime agricultural area</w:t>
      </w:r>
      <w:r w:rsidR="001D14E8" w:rsidRPr="009E3CC4">
        <w:rPr>
          <w:rFonts w:ascii="Arial" w:hAnsi="Arial" w:cs="Arial"/>
          <w:i/>
          <w:iCs/>
          <w:color w:val="000000" w:themeColor="text1"/>
          <w:szCs w:val="24"/>
          <w:u w:val="single"/>
          <w:lang w:val="en-US"/>
        </w:rPr>
        <w:t>s</w:t>
      </w:r>
      <w:r w:rsidR="001D14E8" w:rsidRPr="009E3CC4">
        <w:rPr>
          <w:rFonts w:ascii="Arial" w:hAnsi="Arial" w:cs="Arial"/>
          <w:color w:val="000000" w:themeColor="text1"/>
          <w:szCs w:val="24"/>
          <w:lang w:val="en-US"/>
        </w:rPr>
        <w:t xml:space="preserve"> (emphasis added)</w:t>
      </w:r>
      <w:r w:rsidR="00BC43E6" w:rsidRPr="009E3CC4">
        <w:rPr>
          <w:rFonts w:ascii="Arial" w:hAnsi="Arial" w:cs="Arial"/>
          <w:color w:val="000000" w:themeColor="text1"/>
          <w:szCs w:val="24"/>
          <w:lang w:val="en-US"/>
        </w:rPr>
        <w:t xml:space="preserve">. </w:t>
      </w:r>
      <w:r w:rsidR="00CC4C08" w:rsidRPr="00CC4C08">
        <w:rPr>
          <w:rFonts w:ascii="Arial" w:hAnsi="Arial" w:cs="Arial"/>
          <w:szCs w:val="24"/>
        </w:rPr>
        <w:t>Prime agricultural area</w:t>
      </w:r>
      <w:r w:rsidR="00CC4C08">
        <w:rPr>
          <w:rFonts w:ascii="Arial" w:hAnsi="Arial" w:cs="Arial"/>
          <w:szCs w:val="24"/>
        </w:rPr>
        <w:t xml:space="preserve"> is defined in the NEP as</w:t>
      </w:r>
      <w:r w:rsidR="00A11752">
        <w:rPr>
          <w:rFonts w:ascii="Arial" w:hAnsi="Arial" w:cs="Arial"/>
          <w:szCs w:val="24"/>
        </w:rPr>
        <w:t xml:space="preserve">: </w:t>
      </w:r>
      <w:r w:rsidR="00CC4C08" w:rsidRPr="00A11752">
        <w:rPr>
          <w:rFonts w:ascii="Arial" w:hAnsi="Arial" w:cs="Arial"/>
          <w:i/>
          <w:iCs/>
          <w:szCs w:val="24"/>
        </w:rPr>
        <w:t xml:space="preserve">an area where prime agricultural lands predominate. This includes areas of prime agricultural lands and associated Canada Land Inventory Class 4 through 7 lands, and additional areas where there is a local concentration of farms that exhibit characteristics of ongoing agriculture. Prime agricultural areas may be defined by </w:t>
      </w:r>
      <w:r w:rsidR="00A11752" w:rsidRPr="00A11752">
        <w:rPr>
          <w:rFonts w:ascii="Arial" w:hAnsi="Arial" w:cs="Arial"/>
          <w:i/>
          <w:iCs/>
          <w:szCs w:val="24"/>
        </w:rPr>
        <w:t>OMAFRA</w:t>
      </w:r>
      <w:r w:rsidR="00CC4C08" w:rsidRPr="00A11752">
        <w:rPr>
          <w:rFonts w:ascii="Arial" w:hAnsi="Arial" w:cs="Arial"/>
          <w:i/>
          <w:iCs/>
          <w:szCs w:val="24"/>
        </w:rPr>
        <w:t xml:space="preserve"> using guidelines developed by the Province as amended from time to time. A prime </w:t>
      </w:r>
      <w:r w:rsidR="00CC4C08" w:rsidRPr="00A11752">
        <w:rPr>
          <w:rFonts w:ascii="Arial" w:hAnsi="Arial" w:cs="Arial"/>
          <w:i/>
          <w:iCs/>
          <w:szCs w:val="24"/>
        </w:rPr>
        <w:lastRenderedPageBreak/>
        <w:t>agricultural area may also be defined through an alternative agricultural evaluation system approved by the Province</w:t>
      </w:r>
      <w:r w:rsidR="00F15A82" w:rsidRPr="00A11752">
        <w:rPr>
          <w:rFonts w:ascii="Arial" w:hAnsi="Arial" w:cs="Arial"/>
          <w:i/>
          <w:iCs/>
          <w:szCs w:val="24"/>
        </w:rPr>
        <w:t>.</w:t>
      </w:r>
      <w:r w:rsidR="00CC4C08" w:rsidRPr="00A11752">
        <w:rPr>
          <w:rFonts w:ascii="Arial" w:hAnsi="Arial" w:cs="Arial"/>
          <w:i/>
          <w:iCs/>
          <w:szCs w:val="24"/>
        </w:rPr>
        <w:t xml:space="preserve"> </w:t>
      </w:r>
    </w:p>
    <w:p w14:paraId="7CBEE08E" w14:textId="77777777" w:rsidR="00804F51" w:rsidRPr="00804F51" w:rsidRDefault="00804F51" w:rsidP="00CC4C08">
      <w:pPr>
        <w:pStyle w:val="Header"/>
        <w:spacing w:line="276" w:lineRule="auto"/>
        <w:rPr>
          <w:rFonts w:ascii="Arial" w:hAnsi="Arial" w:cs="Arial"/>
          <w:szCs w:val="24"/>
        </w:rPr>
      </w:pPr>
    </w:p>
    <w:p w14:paraId="072E9264" w14:textId="2B5A04E1" w:rsidR="009651CB" w:rsidRPr="009651CB" w:rsidRDefault="00804F51" w:rsidP="009651CB">
      <w:pPr>
        <w:rPr>
          <w:rFonts w:ascii="Arial" w:hAnsi="Arial" w:cs="Arial"/>
          <w:szCs w:val="24"/>
        </w:rPr>
      </w:pPr>
      <w:r>
        <w:rPr>
          <w:lang w:val="en-US"/>
        </w:rPr>
        <w:t>When the NEC considers a</w:t>
      </w:r>
      <w:r w:rsidR="009C3B5A">
        <w:rPr>
          <w:lang w:val="en-US"/>
        </w:rPr>
        <w:t xml:space="preserve"> </w:t>
      </w:r>
      <w:r w:rsidR="00710873">
        <w:rPr>
          <w:lang w:val="en-US"/>
        </w:rPr>
        <w:t>d</w:t>
      </w:r>
      <w:r w:rsidR="009C3B5A">
        <w:rPr>
          <w:lang w:val="en-US"/>
        </w:rPr>
        <w:t>evelopment permit application</w:t>
      </w:r>
      <w:r>
        <w:rPr>
          <w:lang w:val="en-US"/>
        </w:rPr>
        <w:t xml:space="preserve"> </w:t>
      </w:r>
      <w:r w:rsidR="009C3B5A">
        <w:rPr>
          <w:lang w:val="en-US"/>
        </w:rPr>
        <w:t>(</w:t>
      </w:r>
      <w:r>
        <w:rPr>
          <w:lang w:val="en-US"/>
        </w:rPr>
        <w:t>DPA</w:t>
      </w:r>
      <w:r w:rsidR="009C3B5A">
        <w:rPr>
          <w:lang w:val="en-US"/>
        </w:rPr>
        <w:t>)</w:t>
      </w:r>
      <w:r>
        <w:rPr>
          <w:lang w:val="en-US"/>
        </w:rPr>
        <w:t xml:space="preserve">, the first consideration is whether the </w:t>
      </w:r>
      <w:r w:rsidR="003970AC">
        <w:rPr>
          <w:lang w:val="en-US"/>
        </w:rPr>
        <w:t xml:space="preserve">proposed </w:t>
      </w:r>
      <w:r>
        <w:rPr>
          <w:lang w:val="en-US"/>
        </w:rPr>
        <w:t xml:space="preserve">development is a Permitted Use under Part 1 of the NEP.  If a proposed development is not </w:t>
      </w:r>
      <w:r w:rsidR="006116B3">
        <w:rPr>
          <w:lang w:val="en-US"/>
        </w:rPr>
        <w:t xml:space="preserve">identified as </w:t>
      </w:r>
      <w:r>
        <w:rPr>
          <w:lang w:val="en-US"/>
        </w:rPr>
        <w:t xml:space="preserve">a Permitted Use, it is grounds for refusal of the application </w:t>
      </w:r>
      <w:r w:rsidR="006116B3">
        <w:rPr>
          <w:lang w:val="en-US"/>
        </w:rPr>
        <w:t xml:space="preserve">on that basis, </w:t>
      </w:r>
      <w:r>
        <w:rPr>
          <w:lang w:val="en-US"/>
        </w:rPr>
        <w:t>and typically no further evaluation</w:t>
      </w:r>
      <w:r w:rsidR="006116B3">
        <w:rPr>
          <w:lang w:val="en-US"/>
        </w:rPr>
        <w:t xml:space="preserve"> (of Part 2 Development Criteria)</w:t>
      </w:r>
      <w:r>
        <w:rPr>
          <w:lang w:val="en-US"/>
        </w:rPr>
        <w:t xml:space="preserve"> is undertaken.</w:t>
      </w:r>
      <w:r w:rsidR="009651CB">
        <w:rPr>
          <w:lang w:val="en-US"/>
        </w:rPr>
        <w:t xml:space="preserve"> </w:t>
      </w:r>
      <w:r w:rsidR="009651CB" w:rsidRPr="009651CB">
        <w:rPr>
          <w:rFonts w:ascii="Arial" w:hAnsi="Arial" w:cs="Arial"/>
          <w:szCs w:val="24"/>
        </w:rPr>
        <w:t xml:space="preserve">Any proposed </w:t>
      </w:r>
      <w:r w:rsidR="009651CB">
        <w:rPr>
          <w:rFonts w:ascii="Arial" w:hAnsi="Arial" w:cs="Arial"/>
          <w:szCs w:val="24"/>
        </w:rPr>
        <w:t>OFDU or ARU</w:t>
      </w:r>
      <w:r w:rsidR="009651CB" w:rsidRPr="009651CB">
        <w:rPr>
          <w:rFonts w:ascii="Arial" w:hAnsi="Arial" w:cs="Arial"/>
          <w:szCs w:val="24"/>
        </w:rPr>
        <w:t xml:space="preserve"> must be consistent with the </w:t>
      </w:r>
      <w:r w:rsidR="009651CB">
        <w:rPr>
          <w:rFonts w:ascii="Arial" w:hAnsi="Arial" w:cs="Arial"/>
          <w:szCs w:val="24"/>
        </w:rPr>
        <w:t>P</w:t>
      </w:r>
      <w:r w:rsidR="009651CB" w:rsidRPr="009651CB">
        <w:rPr>
          <w:rFonts w:ascii="Arial" w:hAnsi="Arial" w:cs="Arial"/>
          <w:szCs w:val="24"/>
        </w:rPr>
        <w:t xml:space="preserve">urpose and </w:t>
      </w:r>
      <w:r w:rsidR="009651CB">
        <w:rPr>
          <w:rFonts w:ascii="Arial" w:hAnsi="Arial" w:cs="Arial"/>
          <w:szCs w:val="24"/>
        </w:rPr>
        <w:t>O</w:t>
      </w:r>
      <w:r w:rsidR="009651CB" w:rsidRPr="009651CB">
        <w:rPr>
          <w:rFonts w:ascii="Arial" w:hAnsi="Arial" w:cs="Arial"/>
          <w:szCs w:val="24"/>
        </w:rPr>
        <w:t xml:space="preserve">bjectives of the </w:t>
      </w:r>
      <w:r w:rsidR="008C73A1" w:rsidRPr="009651CB">
        <w:rPr>
          <w:rFonts w:ascii="Arial" w:hAnsi="Arial" w:cs="Arial"/>
          <w:szCs w:val="24"/>
        </w:rPr>
        <w:t>NEP and</w:t>
      </w:r>
      <w:r w:rsidR="009651CB" w:rsidRPr="009651CB">
        <w:rPr>
          <w:rFonts w:ascii="Arial" w:hAnsi="Arial" w:cs="Arial"/>
          <w:szCs w:val="24"/>
        </w:rPr>
        <w:t xml:space="preserve"> meet the </w:t>
      </w:r>
      <w:r w:rsidR="009651CB">
        <w:rPr>
          <w:rFonts w:ascii="Arial" w:hAnsi="Arial" w:cs="Arial"/>
          <w:szCs w:val="24"/>
        </w:rPr>
        <w:t>D</w:t>
      </w:r>
      <w:r w:rsidR="009651CB" w:rsidRPr="009651CB">
        <w:rPr>
          <w:rFonts w:ascii="Arial" w:hAnsi="Arial" w:cs="Arial"/>
          <w:szCs w:val="24"/>
        </w:rPr>
        <w:t xml:space="preserve">evelopment </w:t>
      </w:r>
      <w:r w:rsidR="009651CB">
        <w:rPr>
          <w:rFonts w:ascii="Arial" w:hAnsi="Arial" w:cs="Arial"/>
          <w:szCs w:val="24"/>
        </w:rPr>
        <w:t>C</w:t>
      </w:r>
      <w:r w:rsidR="009651CB" w:rsidRPr="009651CB">
        <w:rPr>
          <w:rFonts w:ascii="Arial" w:hAnsi="Arial" w:cs="Arial"/>
          <w:szCs w:val="24"/>
        </w:rPr>
        <w:t>riteria in Part 2 before it can be considered a permitted use in the NEP Area.</w:t>
      </w:r>
    </w:p>
    <w:p w14:paraId="726BED99" w14:textId="77777777" w:rsidR="00AD5346" w:rsidRDefault="000D5974" w:rsidP="001509BF">
      <w:pPr>
        <w:pStyle w:val="Header"/>
        <w:spacing w:line="276" w:lineRule="auto"/>
        <w:rPr>
          <w:rFonts w:ascii="Arial" w:hAnsi="Arial" w:cs="Arial"/>
          <w:szCs w:val="24"/>
        </w:rPr>
      </w:pPr>
      <w:r>
        <w:rPr>
          <w:rFonts w:ascii="Arial" w:hAnsi="Arial" w:cs="Arial"/>
          <w:color w:val="000000" w:themeColor="text1"/>
          <w:szCs w:val="24"/>
        </w:rPr>
        <w:t xml:space="preserve">There have been </w:t>
      </w:r>
      <w:r w:rsidR="00736C26" w:rsidRPr="0064624C">
        <w:rPr>
          <w:rFonts w:ascii="Arial" w:hAnsi="Arial" w:cs="Arial"/>
          <w:color w:val="000000" w:themeColor="text1"/>
          <w:szCs w:val="24"/>
        </w:rPr>
        <w:t>twenty</w:t>
      </w:r>
      <w:r w:rsidR="004F2351">
        <w:rPr>
          <w:rFonts w:ascii="Arial" w:hAnsi="Arial" w:cs="Arial"/>
          <w:color w:val="000000" w:themeColor="text1"/>
          <w:szCs w:val="24"/>
        </w:rPr>
        <w:t>-</w:t>
      </w:r>
      <w:r w:rsidR="002219D8">
        <w:rPr>
          <w:rFonts w:ascii="Arial" w:hAnsi="Arial" w:cs="Arial"/>
          <w:color w:val="000000" w:themeColor="text1"/>
          <w:szCs w:val="24"/>
        </w:rPr>
        <w:t>seven</w:t>
      </w:r>
      <w:r w:rsidRPr="0064624C">
        <w:rPr>
          <w:rFonts w:ascii="Arial" w:hAnsi="Arial" w:cs="Arial"/>
          <w:color w:val="000000" w:themeColor="text1"/>
          <w:szCs w:val="24"/>
        </w:rPr>
        <w:t xml:space="preserve"> D</w:t>
      </w:r>
      <w:r w:rsidR="00993139" w:rsidRPr="0064624C">
        <w:rPr>
          <w:rFonts w:ascii="Arial" w:hAnsi="Arial" w:cs="Arial"/>
          <w:color w:val="000000" w:themeColor="text1"/>
          <w:szCs w:val="24"/>
        </w:rPr>
        <w:t>PAs</w:t>
      </w:r>
      <w:r w:rsidR="00A2621C" w:rsidRPr="0064624C">
        <w:rPr>
          <w:rFonts w:ascii="Arial" w:hAnsi="Arial" w:cs="Arial"/>
          <w:color w:val="000000" w:themeColor="text1"/>
          <w:szCs w:val="24"/>
        </w:rPr>
        <w:t xml:space="preserve"> </w:t>
      </w:r>
      <w:r w:rsidRPr="0064624C">
        <w:rPr>
          <w:rFonts w:ascii="Arial" w:hAnsi="Arial" w:cs="Arial"/>
          <w:color w:val="000000" w:themeColor="text1"/>
          <w:szCs w:val="24"/>
        </w:rPr>
        <w:t xml:space="preserve">for OFDUs and ARUs </w:t>
      </w:r>
      <w:r w:rsidR="008F5BAD" w:rsidRPr="0064624C">
        <w:rPr>
          <w:rFonts w:ascii="Arial" w:hAnsi="Arial" w:cs="Arial"/>
          <w:color w:val="000000" w:themeColor="text1"/>
          <w:szCs w:val="24"/>
        </w:rPr>
        <w:t xml:space="preserve">since the </w:t>
      </w:r>
      <w:r w:rsidR="00C1548B" w:rsidRPr="0064624C">
        <w:rPr>
          <w:rFonts w:ascii="Arial" w:hAnsi="Arial" w:cs="Arial"/>
          <w:color w:val="000000" w:themeColor="text1"/>
          <w:szCs w:val="24"/>
        </w:rPr>
        <w:t xml:space="preserve">polices of the </w:t>
      </w:r>
      <w:r w:rsidR="008F5BAD" w:rsidRPr="0064624C">
        <w:rPr>
          <w:rFonts w:ascii="Arial" w:hAnsi="Arial" w:cs="Arial"/>
          <w:color w:val="000000" w:themeColor="text1"/>
          <w:szCs w:val="24"/>
        </w:rPr>
        <w:t xml:space="preserve">2017 </w:t>
      </w:r>
      <w:r w:rsidR="008C73A1">
        <w:rPr>
          <w:rFonts w:ascii="Arial" w:hAnsi="Arial" w:cs="Arial"/>
          <w:color w:val="000000" w:themeColor="text1"/>
          <w:szCs w:val="24"/>
        </w:rPr>
        <w:t>NEP</w:t>
      </w:r>
      <w:r w:rsidR="008F5BAD" w:rsidRPr="0064624C">
        <w:rPr>
          <w:rFonts w:ascii="Arial" w:hAnsi="Arial" w:cs="Arial"/>
          <w:color w:val="000000" w:themeColor="text1"/>
          <w:szCs w:val="24"/>
        </w:rPr>
        <w:t xml:space="preserve"> ha</w:t>
      </w:r>
      <w:r w:rsidR="00C1548B" w:rsidRPr="0064624C">
        <w:rPr>
          <w:rFonts w:ascii="Arial" w:hAnsi="Arial" w:cs="Arial"/>
          <w:color w:val="000000" w:themeColor="text1"/>
          <w:szCs w:val="24"/>
        </w:rPr>
        <w:t>ve</w:t>
      </w:r>
      <w:r w:rsidR="008F5BAD" w:rsidRPr="0064624C">
        <w:rPr>
          <w:rFonts w:ascii="Arial" w:hAnsi="Arial" w:cs="Arial"/>
          <w:color w:val="000000" w:themeColor="text1"/>
          <w:szCs w:val="24"/>
        </w:rPr>
        <w:t xml:space="preserve"> been in effect</w:t>
      </w:r>
      <w:r w:rsidR="00420F37">
        <w:rPr>
          <w:rFonts w:ascii="Arial" w:hAnsi="Arial" w:cs="Arial"/>
          <w:color w:val="000000" w:themeColor="text1"/>
          <w:szCs w:val="24"/>
        </w:rPr>
        <w:t xml:space="preserve"> (i</w:t>
      </w:r>
      <w:r w:rsidR="00CE59D5">
        <w:rPr>
          <w:rFonts w:ascii="Arial" w:hAnsi="Arial" w:cs="Arial"/>
          <w:color w:val="000000" w:themeColor="text1"/>
          <w:szCs w:val="24"/>
        </w:rPr>
        <w:t xml:space="preserve">ncluding </w:t>
      </w:r>
      <w:r w:rsidR="00DD5425">
        <w:rPr>
          <w:rFonts w:ascii="Arial" w:hAnsi="Arial" w:cs="Arial"/>
          <w:color w:val="000000" w:themeColor="text1"/>
          <w:szCs w:val="24"/>
        </w:rPr>
        <w:t>six</w:t>
      </w:r>
      <w:r w:rsidR="00CE59D5">
        <w:rPr>
          <w:rFonts w:ascii="Arial" w:hAnsi="Arial" w:cs="Arial"/>
          <w:color w:val="000000" w:themeColor="text1"/>
          <w:szCs w:val="24"/>
        </w:rPr>
        <w:t xml:space="preserve"> </w:t>
      </w:r>
      <w:proofErr w:type="gramStart"/>
      <w:r w:rsidR="00CE59D5">
        <w:rPr>
          <w:rFonts w:ascii="Arial" w:hAnsi="Arial" w:cs="Arial"/>
          <w:color w:val="000000" w:themeColor="text1"/>
          <w:szCs w:val="24"/>
        </w:rPr>
        <w:t>winery</w:t>
      </w:r>
      <w:proofErr w:type="gramEnd"/>
      <w:r w:rsidR="00420F37">
        <w:rPr>
          <w:rFonts w:ascii="Arial" w:hAnsi="Arial" w:cs="Arial"/>
          <w:color w:val="000000" w:themeColor="text1"/>
          <w:szCs w:val="24"/>
        </w:rPr>
        <w:t xml:space="preserve"> related</w:t>
      </w:r>
      <w:r w:rsidR="00CE59D5">
        <w:rPr>
          <w:rFonts w:ascii="Arial" w:hAnsi="Arial" w:cs="Arial"/>
          <w:color w:val="000000" w:themeColor="text1"/>
          <w:szCs w:val="24"/>
        </w:rPr>
        <w:t xml:space="preserve"> DPAs</w:t>
      </w:r>
      <w:r w:rsidR="00420F37">
        <w:rPr>
          <w:rFonts w:ascii="Arial" w:hAnsi="Arial" w:cs="Arial"/>
          <w:color w:val="000000" w:themeColor="text1"/>
          <w:szCs w:val="24"/>
        </w:rPr>
        <w:t>)</w:t>
      </w:r>
      <w:r w:rsidR="00CE59D5">
        <w:rPr>
          <w:rFonts w:ascii="Arial" w:hAnsi="Arial" w:cs="Arial"/>
          <w:color w:val="000000" w:themeColor="text1"/>
          <w:szCs w:val="24"/>
        </w:rPr>
        <w:t>. Of these DPAs, two</w:t>
      </w:r>
      <w:r w:rsidR="00935D1C" w:rsidRPr="0064624C">
        <w:rPr>
          <w:rFonts w:ascii="Arial" w:hAnsi="Arial" w:cs="Arial"/>
          <w:color w:val="000000" w:themeColor="text1"/>
          <w:szCs w:val="24"/>
        </w:rPr>
        <w:t xml:space="preserve"> applications</w:t>
      </w:r>
      <w:r w:rsidR="00935D1C">
        <w:rPr>
          <w:rFonts w:ascii="Arial" w:hAnsi="Arial" w:cs="Arial"/>
          <w:color w:val="000000" w:themeColor="text1"/>
          <w:szCs w:val="24"/>
        </w:rPr>
        <w:t xml:space="preserve"> </w:t>
      </w:r>
      <w:r w:rsidR="003970AC">
        <w:rPr>
          <w:rFonts w:ascii="Arial" w:hAnsi="Arial" w:cs="Arial"/>
          <w:color w:val="000000" w:themeColor="text1"/>
          <w:szCs w:val="24"/>
        </w:rPr>
        <w:t>were</w:t>
      </w:r>
      <w:r w:rsidR="00575B6D">
        <w:rPr>
          <w:rFonts w:ascii="Arial" w:hAnsi="Arial" w:cs="Arial"/>
          <w:color w:val="000000" w:themeColor="text1"/>
          <w:szCs w:val="24"/>
        </w:rPr>
        <w:t xml:space="preserve"> </w:t>
      </w:r>
      <w:r w:rsidR="00B23817">
        <w:rPr>
          <w:rFonts w:ascii="Arial" w:hAnsi="Arial" w:cs="Arial"/>
          <w:color w:val="000000" w:themeColor="text1"/>
          <w:szCs w:val="24"/>
        </w:rPr>
        <w:t xml:space="preserve">recommended for </w:t>
      </w:r>
      <w:r w:rsidR="003F73BE">
        <w:rPr>
          <w:rFonts w:ascii="Arial" w:hAnsi="Arial" w:cs="Arial"/>
          <w:color w:val="000000" w:themeColor="text1"/>
          <w:szCs w:val="24"/>
        </w:rPr>
        <w:t>refus</w:t>
      </w:r>
      <w:r w:rsidR="00320A04">
        <w:rPr>
          <w:rFonts w:ascii="Arial" w:hAnsi="Arial" w:cs="Arial"/>
          <w:color w:val="000000" w:themeColor="text1"/>
          <w:szCs w:val="24"/>
        </w:rPr>
        <w:t xml:space="preserve">al </w:t>
      </w:r>
      <w:r w:rsidR="003F73BE">
        <w:rPr>
          <w:rFonts w:ascii="Arial" w:hAnsi="Arial" w:cs="Arial"/>
          <w:color w:val="000000" w:themeColor="text1"/>
          <w:szCs w:val="24"/>
        </w:rPr>
        <w:t xml:space="preserve">by </w:t>
      </w:r>
      <w:r w:rsidR="00B23817">
        <w:rPr>
          <w:rFonts w:ascii="Arial" w:hAnsi="Arial" w:cs="Arial"/>
          <w:color w:val="000000" w:themeColor="text1"/>
          <w:szCs w:val="24"/>
        </w:rPr>
        <w:t>NEC s</w:t>
      </w:r>
      <w:r w:rsidR="003F73BE">
        <w:rPr>
          <w:rFonts w:ascii="Arial" w:hAnsi="Arial" w:cs="Arial"/>
          <w:color w:val="000000" w:themeColor="text1"/>
          <w:szCs w:val="24"/>
        </w:rPr>
        <w:t>taff</w:t>
      </w:r>
      <w:r w:rsidR="001509BF">
        <w:rPr>
          <w:rFonts w:ascii="Arial" w:hAnsi="Arial" w:cs="Arial"/>
          <w:color w:val="000000" w:themeColor="text1"/>
          <w:szCs w:val="24"/>
        </w:rPr>
        <w:t xml:space="preserve">, </w:t>
      </w:r>
      <w:r w:rsidR="00602008">
        <w:rPr>
          <w:rFonts w:ascii="Arial" w:hAnsi="Arial" w:cs="Arial"/>
          <w:color w:val="000000" w:themeColor="text1"/>
          <w:szCs w:val="24"/>
        </w:rPr>
        <w:t>on the basis that</w:t>
      </w:r>
      <w:r w:rsidR="00B77D5B">
        <w:rPr>
          <w:rFonts w:ascii="Arial" w:hAnsi="Arial" w:cs="Arial"/>
          <w:color w:val="000000" w:themeColor="text1"/>
          <w:szCs w:val="24"/>
        </w:rPr>
        <w:t xml:space="preserve"> the subject lands</w:t>
      </w:r>
      <w:r w:rsidR="006071A2">
        <w:rPr>
          <w:rFonts w:ascii="Arial" w:hAnsi="Arial" w:cs="Arial"/>
          <w:color w:val="000000" w:themeColor="text1"/>
          <w:szCs w:val="24"/>
        </w:rPr>
        <w:t xml:space="preserve"> </w:t>
      </w:r>
      <w:r w:rsidR="00C328D1">
        <w:rPr>
          <w:rFonts w:ascii="Arial" w:hAnsi="Arial" w:cs="Arial"/>
          <w:color w:val="000000" w:themeColor="text1"/>
          <w:szCs w:val="24"/>
        </w:rPr>
        <w:t xml:space="preserve">were not </w:t>
      </w:r>
      <w:r w:rsidR="006071A2">
        <w:rPr>
          <w:rFonts w:ascii="Arial" w:hAnsi="Arial" w:cs="Arial"/>
          <w:color w:val="000000" w:themeColor="text1"/>
          <w:szCs w:val="24"/>
        </w:rPr>
        <w:t>identified as prime agricultural area</w:t>
      </w:r>
      <w:r w:rsidR="00C328D1">
        <w:rPr>
          <w:rFonts w:ascii="Arial" w:hAnsi="Arial" w:cs="Arial"/>
          <w:color w:val="000000" w:themeColor="text1"/>
          <w:szCs w:val="24"/>
        </w:rPr>
        <w:t>s</w:t>
      </w:r>
      <w:r w:rsidR="00010541">
        <w:rPr>
          <w:rStyle w:val="FootnoteReference"/>
          <w:rFonts w:ascii="Arial" w:hAnsi="Arial" w:cs="Arial"/>
          <w:color w:val="000000" w:themeColor="text1"/>
          <w:szCs w:val="24"/>
        </w:rPr>
        <w:footnoteReference w:id="5"/>
      </w:r>
      <w:r w:rsidR="00EF45CF">
        <w:rPr>
          <w:rFonts w:ascii="Arial" w:hAnsi="Arial" w:cs="Arial"/>
          <w:color w:val="000000" w:themeColor="text1"/>
          <w:szCs w:val="24"/>
        </w:rPr>
        <w:t xml:space="preserve"> as per </w:t>
      </w:r>
      <w:r w:rsidR="00DD5425">
        <w:rPr>
          <w:rFonts w:ascii="Arial" w:hAnsi="Arial" w:cs="Arial"/>
          <w:color w:val="000000" w:themeColor="text1"/>
          <w:szCs w:val="24"/>
        </w:rPr>
        <w:t xml:space="preserve">NEP </w:t>
      </w:r>
      <w:r w:rsidR="00EF45CF">
        <w:rPr>
          <w:rFonts w:ascii="Arial" w:hAnsi="Arial" w:cs="Arial"/>
          <w:color w:val="000000" w:themeColor="text1"/>
          <w:szCs w:val="24"/>
        </w:rPr>
        <w:t>policy 1.4</w:t>
      </w:r>
      <w:r w:rsidR="006071A2">
        <w:rPr>
          <w:rFonts w:ascii="Arial" w:hAnsi="Arial" w:cs="Arial"/>
          <w:color w:val="000000" w:themeColor="text1"/>
          <w:szCs w:val="24"/>
        </w:rPr>
        <w:t>.</w:t>
      </w:r>
      <w:r w:rsidR="0064624C">
        <w:rPr>
          <w:rFonts w:ascii="Arial" w:hAnsi="Arial" w:cs="Arial"/>
          <w:color w:val="000000" w:themeColor="text1"/>
          <w:szCs w:val="24"/>
        </w:rPr>
        <w:t>3.2</w:t>
      </w:r>
      <w:r w:rsidR="003970AC">
        <w:rPr>
          <w:rFonts w:ascii="Arial" w:hAnsi="Arial" w:cs="Arial"/>
          <w:color w:val="000000" w:themeColor="text1"/>
          <w:szCs w:val="24"/>
        </w:rPr>
        <w:t>.</w:t>
      </w:r>
      <w:r w:rsidR="006071A2">
        <w:rPr>
          <w:rFonts w:ascii="Arial" w:hAnsi="Arial" w:cs="Arial"/>
          <w:color w:val="000000" w:themeColor="text1"/>
          <w:szCs w:val="24"/>
        </w:rPr>
        <w:t xml:space="preserve"> </w:t>
      </w:r>
      <w:r w:rsidR="00935D1C">
        <w:rPr>
          <w:rFonts w:ascii="Arial" w:hAnsi="Arial" w:cs="Arial"/>
          <w:color w:val="000000" w:themeColor="text1"/>
          <w:szCs w:val="24"/>
        </w:rPr>
        <w:t xml:space="preserve"> </w:t>
      </w:r>
      <w:r w:rsidR="006071A2">
        <w:rPr>
          <w:rFonts w:ascii="Arial" w:hAnsi="Arial" w:cs="Arial"/>
          <w:szCs w:val="24"/>
        </w:rPr>
        <w:t xml:space="preserve">Prime agricultural areas are not to be identified on an </w:t>
      </w:r>
      <w:r w:rsidR="006071A2" w:rsidRPr="006071A2">
        <w:rPr>
          <w:rFonts w:ascii="Arial" w:hAnsi="Arial" w:cs="Arial"/>
          <w:szCs w:val="24"/>
        </w:rPr>
        <w:t>ad hoc</w:t>
      </w:r>
      <w:r w:rsidR="006071A2">
        <w:rPr>
          <w:rFonts w:ascii="Arial" w:hAnsi="Arial" w:cs="Arial"/>
          <w:szCs w:val="24"/>
        </w:rPr>
        <w:t xml:space="preserve"> basis, and must be done in a manner consistent with OMAFRA’s</w:t>
      </w:r>
      <w:r w:rsidR="003D045F">
        <w:rPr>
          <w:rFonts w:ascii="Arial" w:hAnsi="Arial" w:cs="Arial"/>
          <w:szCs w:val="24"/>
        </w:rPr>
        <w:t xml:space="preserve"> </w:t>
      </w:r>
      <w:hyperlink r:id="rId11" w:history="1">
        <w:r w:rsidR="003D045F" w:rsidRPr="003D045F">
          <w:rPr>
            <w:rStyle w:val="Hyperlink"/>
            <w:color w:val="auto"/>
            <w:u w:val="none"/>
          </w:rPr>
          <w:t>Implementation Procedures for the Agricultural System in Ontario’s Greater Golden Horseshoe</w:t>
        </w:r>
      </w:hyperlink>
      <w:r w:rsidR="00082599">
        <w:rPr>
          <w:rStyle w:val="FootnoteReference"/>
        </w:rPr>
        <w:footnoteReference w:id="6"/>
      </w:r>
      <w:r w:rsidR="00D01EF5" w:rsidRPr="00D01EF5">
        <w:rPr>
          <w:rFonts w:ascii="Arial" w:hAnsi="Arial" w:cs="Arial"/>
          <w:szCs w:val="24"/>
        </w:rPr>
        <w:t xml:space="preserve">. </w:t>
      </w:r>
      <w:r w:rsidR="00C23280">
        <w:rPr>
          <w:rFonts w:ascii="Arial" w:hAnsi="Arial" w:cs="Arial"/>
          <w:szCs w:val="24"/>
        </w:rPr>
        <w:t>T</w:t>
      </w:r>
      <w:r w:rsidR="00D01EF5">
        <w:rPr>
          <w:rFonts w:ascii="Arial" w:hAnsi="Arial" w:cs="Arial"/>
          <w:szCs w:val="24"/>
        </w:rPr>
        <w:t xml:space="preserve">he exercise of </w:t>
      </w:r>
      <w:r w:rsidR="000F48DC">
        <w:rPr>
          <w:rFonts w:ascii="Arial" w:hAnsi="Arial" w:cs="Arial"/>
          <w:szCs w:val="24"/>
        </w:rPr>
        <w:t xml:space="preserve">refining agricultural land base mapping is </w:t>
      </w:r>
      <w:r w:rsidR="003E3464">
        <w:rPr>
          <w:rFonts w:ascii="Arial" w:hAnsi="Arial" w:cs="Arial"/>
          <w:szCs w:val="24"/>
        </w:rPr>
        <w:t xml:space="preserve">typically </w:t>
      </w:r>
      <w:r w:rsidR="000F48DC">
        <w:rPr>
          <w:rFonts w:ascii="Arial" w:hAnsi="Arial" w:cs="Arial"/>
          <w:szCs w:val="24"/>
        </w:rPr>
        <w:t xml:space="preserve">undertaken by a municipality through the </w:t>
      </w:r>
      <w:r w:rsidR="00817119">
        <w:rPr>
          <w:rFonts w:ascii="Arial" w:hAnsi="Arial" w:cs="Arial"/>
          <w:szCs w:val="24"/>
        </w:rPr>
        <w:t xml:space="preserve">municipal </w:t>
      </w:r>
      <w:r w:rsidR="000F48DC">
        <w:rPr>
          <w:rFonts w:ascii="Arial" w:hAnsi="Arial" w:cs="Arial"/>
          <w:szCs w:val="24"/>
        </w:rPr>
        <w:t xml:space="preserve">comprehensive review </w:t>
      </w:r>
      <w:r w:rsidR="00E73CF2">
        <w:rPr>
          <w:rFonts w:ascii="Arial" w:hAnsi="Arial" w:cs="Arial"/>
          <w:szCs w:val="24"/>
        </w:rPr>
        <w:t xml:space="preserve">or </w:t>
      </w:r>
      <w:r w:rsidR="003970AC">
        <w:rPr>
          <w:rFonts w:ascii="Arial" w:hAnsi="Arial" w:cs="Arial"/>
          <w:szCs w:val="24"/>
        </w:rPr>
        <w:t>o</w:t>
      </w:r>
      <w:r w:rsidR="00E73CF2">
        <w:rPr>
          <w:rFonts w:ascii="Arial" w:hAnsi="Arial" w:cs="Arial"/>
          <w:szCs w:val="24"/>
        </w:rPr>
        <w:t xml:space="preserve">fficial </w:t>
      </w:r>
      <w:r w:rsidR="003970AC">
        <w:rPr>
          <w:rFonts w:ascii="Arial" w:hAnsi="Arial" w:cs="Arial"/>
          <w:szCs w:val="24"/>
        </w:rPr>
        <w:t>p</w:t>
      </w:r>
      <w:r w:rsidR="00E73CF2">
        <w:rPr>
          <w:rFonts w:ascii="Arial" w:hAnsi="Arial" w:cs="Arial"/>
          <w:szCs w:val="24"/>
        </w:rPr>
        <w:t xml:space="preserve">lan review </w:t>
      </w:r>
      <w:r w:rsidR="000D3975">
        <w:rPr>
          <w:rFonts w:ascii="Arial" w:hAnsi="Arial" w:cs="Arial"/>
          <w:szCs w:val="24"/>
        </w:rPr>
        <w:t>process and</w:t>
      </w:r>
      <w:r w:rsidR="003E3464">
        <w:rPr>
          <w:rFonts w:ascii="Arial" w:hAnsi="Arial" w:cs="Arial"/>
          <w:szCs w:val="24"/>
        </w:rPr>
        <w:t xml:space="preserve"> approved by the Ministry of Municipal Affairs </w:t>
      </w:r>
      <w:r w:rsidR="00BC0B99">
        <w:rPr>
          <w:rFonts w:ascii="Arial" w:hAnsi="Arial" w:cs="Arial"/>
          <w:szCs w:val="24"/>
        </w:rPr>
        <w:t xml:space="preserve">and Housing </w:t>
      </w:r>
      <w:r w:rsidR="003E3464">
        <w:rPr>
          <w:rFonts w:ascii="Arial" w:hAnsi="Arial" w:cs="Arial"/>
          <w:szCs w:val="24"/>
        </w:rPr>
        <w:t>(MAH)</w:t>
      </w:r>
      <w:r w:rsidR="000F48DC">
        <w:rPr>
          <w:rFonts w:ascii="Arial" w:hAnsi="Arial" w:cs="Arial"/>
          <w:szCs w:val="24"/>
        </w:rPr>
        <w:t xml:space="preserve">. </w:t>
      </w:r>
      <w:r w:rsidR="002D056F" w:rsidRPr="002D056F">
        <w:rPr>
          <w:rFonts w:cstheme="minorHAnsi"/>
          <w:color w:val="000000"/>
          <w:szCs w:val="24"/>
          <w:shd w:val="clear" w:color="auto" w:fill="FFFFFF"/>
        </w:rPr>
        <w:t>A Land Evaluation and Area Review (LEAR) or an Agricultural Land Evaluation System (ALES) study may be conducted to help identify prime agricultural areas or the </w:t>
      </w:r>
      <w:hyperlink r:id="rId12" w:history="1">
        <w:r w:rsidR="002D056F" w:rsidRPr="002D056F">
          <w:rPr>
            <w:rFonts w:ascii="Arial" w:hAnsi="Arial" w:cs="Arial"/>
            <w:szCs w:val="24"/>
          </w:rPr>
          <w:t>agricultural land base</w:t>
        </w:r>
      </w:hyperlink>
      <w:r w:rsidR="002D056F" w:rsidRPr="002D056F">
        <w:rPr>
          <w:rFonts w:ascii="Arial" w:hAnsi="Arial" w:cs="Arial"/>
          <w:szCs w:val="24"/>
        </w:rPr>
        <w:t> more broadly, for designation in official plans. </w:t>
      </w:r>
    </w:p>
    <w:p w14:paraId="1FE34F65" w14:textId="77777777" w:rsidR="00AD5346" w:rsidRDefault="00AD5346" w:rsidP="001509BF">
      <w:pPr>
        <w:pStyle w:val="Header"/>
        <w:spacing w:line="276" w:lineRule="auto"/>
        <w:rPr>
          <w:rFonts w:ascii="Arial" w:hAnsi="Arial" w:cs="Arial"/>
          <w:szCs w:val="24"/>
        </w:rPr>
      </w:pPr>
    </w:p>
    <w:p w14:paraId="157C4CD9" w14:textId="1929077C" w:rsidR="00C23280" w:rsidRPr="00A627A9" w:rsidRDefault="00AD5346" w:rsidP="001509BF">
      <w:pPr>
        <w:pStyle w:val="Header"/>
        <w:spacing w:line="276" w:lineRule="auto"/>
        <w:rPr>
          <w:rFonts w:ascii="Arial" w:hAnsi="Arial" w:cs="Arial"/>
          <w:color w:val="000000" w:themeColor="text1"/>
          <w:szCs w:val="24"/>
        </w:rPr>
      </w:pPr>
      <w:r w:rsidRPr="00A627A9">
        <w:rPr>
          <w:rFonts w:ascii="Arial" w:hAnsi="Arial" w:cs="Arial"/>
          <w:color w:val="000000" w:themeColor="text1"/>
          <w:szCs w:val="24"/>
        </w:rPr>
        <w:t xml:space="preserve">Not all municipalities in the NEP Area include prime agricultural area mapping in their Official Plans </w:t>
      </w:r>
      <w:r w:rsidR="000B352E" w:rsidRPr="00A627A9">
        <w:rPr>
          <w:rFonts w:ascii="Arial" w:hAnsi="Arial" w:cs="Arial"/>
          <w:color w:val="000000" w:themeColor="text1"/>
          <w:szCs w:val="24"/>
        </w:rPr>
        <w:t>(e.g., Grey County)</w:t>
      </w:r>
      <w:r w:rsidR="003B3E0B" w:rsidRPr="00A627A9">
        <w:rPr>
          <w:rFonts w:ascii="Arial" w:hAnsi="Arial" w:cs="Arial"/>
          <w:color w:val="000000" w:themeColor="text1"/>
          <w:szCs w:val="24"/>
        </w:rPr>
        <w:t>, which also creates challenges to their identification</w:t>
      </w:r>
      <w:r w:rsidR="006C60F9" w:rsidRPr="00A627A9">
        <w:rPr>
          <w:rFonts w:ascii="Arial" w:hAnsi="Arial" w:cs="Arial"/>
          <w:color w:val="000000" w:themeColor="text1"/>
          <w:szCs w:val="24"/>
        </w:rPr>
        <w:t xml:space="preserve"> and to implementation of Part 1.4.3.2, which requires the identification of prime agricultural areas</w:t>
      </w:r>
      <w:r w:rsidR="003B3E0B" w:rsidRPr="00A627A9">
        <w:rPr>
          <w:rFonts w:ascii="Arial" w:hAnsi="Arial" w:cs="Arial"/>
          <w:color w:val="000000" w:themeColor="text1"/>
          <w:szCs w:val="24"/>
        </w:rPr>
        <w:t xml:space="preserve">. </w:t>
      </w:r>
      <w:r w:rsidR="00C23280" w:rsidRPr="00A627A9">
        <w:rPr>
          <w:rFonts w:ascii="Arial" w:hAnsi="Arial" w:cs="Arial"/>
          <w:color w:val="000000" w:themeColor="text1"/>
          <w:szCs w:val="24"/>
        </w:rPr>
        <w:t>The NEC does not have the ability to identify or designate land</w:t>
      </w:r>
      <w:r w:rsidR="001509BF" w:rsidRPr="00A627A9">
        <w:rPr>
          <w:rFonts w:ascii="Arial" w:hAnsi="Arial" w:cs="Arial"/>
          <w:color w:val="000000" w:themeColor="text1"/>
          <w:szCs w:val="24"/>
        </w:rPr>
        <w:t>s as prime agricultural area on a site-specific</w:t>
      </w:r>
      <w:r w:rsidR="00B9583C" w:rsidRPr="00A627A9">
        <w:rPr>
          <w:rFonts w:ascii="Arial" w:hAnsi="Arial" w:cs="Arial"/>
          <w:color w:val="000000" w:themeColor="text1"/>
          <w:szCs w:val="24"/>
        </w:rPr>
        <w:t xml:space="preserve">, individual </w:t>
      </w:r>
      <w:r w:rsidR="001509BF" w:rsidRPr="00A627A9">
        <w:rPr>
          <w:rFonts w:ascii="Arial" w:hAnsi="Arial" w:cs="Arial"/>
          <w:color w:val="000000" w:themeColor="text1"/>
          <w:szCs w:val="24"/>
        </w:rPr>
        <w:t xml:space="preserve">application basis. </w:t>
      </w:r>
    </w:p>
    <w:p w14:paraId="1513236A" w14:textId="77777777" w:rsidR="00D47DA5" w:rsidRDefault="00D47DA5" w:rsidP="00D47DA5">
      <w:pPr>
        <w:autoSpaceDE w:val="0"/>
        <w:autoSpaceDN w:val="0"/>
        <w:adjustRightInd w:val="0"/>
        <w:spacing w:after="0"/>
        <w:rPr>
          <w:rFonts w:ascii="Arial" w:hAnsi="Arial" w:cs="Arial"/>
          <w:color w:val="000000" w:themeColor="text1"/>
          <w:szCs w:val="24"/>
          <w:lang w:val="en-US"/>
        </w:rPr>
      </w:pPr>
    </w:p>
    <w:p w14:paraId="40D898A6" w14:textId="64FB0527" w:rsidR="00A06483" w:rsidRPr="002219D8" w:rsidRDefault="00D47DA5" w:rsidP="00A06483">
      <w:pPr>
        <w:spacing w:after="0"/>
        <w:contextualSpacing/>
        <w:rPr>
          <w:rFonts w:eastAsiaTheme="minorEastAsia" w:cstheme="minorHAnsi"/>
          <w:color w:val="000000" w:themeColor="text1"/>
          <w:kern w:val="24"/>
          <w:szCs w:val="24"/>
          <w:lang w:eastAsia="en-CA"/>
        </w:rPr>
      </w:pPr>
      <w:r w:rsidRPr="002219D8">
        <w:rPr>
          <w:rFonts w:cstheme="minorHAnsi"/>
          <w:color w:val="000000" w:themeColor="text1"/>
          <w:szCs w:val="24"/>
          <w:lang w:val="en-US"/>
        </w:rPr>
        <w:t>Limiting OFDUs and ARUs to only prime agricultural areas in the Escarpment Protection Area designation was not a recommendation advanced by NEC staff or the Commission during the time of the 2015 Coordinated Land Use Plan</w:t>
      </w:r>
      <w:r w:rsidR="003970AC">
        <w:rPr>
          <w:rFonts w:cstheme="minorHAnsi"/>
          <w:color w:val="000000" w:themeColor="text1"/>
          <w:szCs w:val="24"/>
          <w:lang w:val="en-US"/>
        </w:rPr>
        <w:t>ning</w:t>
      </w:r>
      <w:r w:rsidRPr="002219D8">
        <w:rPr>
          <w:rFonts w:cstheme="minorHAnsi"/>
          <w:color w:val="000000" w:themeColor="text1"/>
          <w:szCs w:val="24"/>
          <w:lang w:val="en-US"/>
        </w:rPr>
        <w:t xml:space="preserve"> Review. </w:t>
      </w:r>
      <w:r w:rsidR="00A06483" w:rsidRPr="002219D8">
        <w:rPr>
          <w:rFonts w:cstheme="minorHAnsi"/>
          <w:szCs w:val="24"/>
          <w:lang w:val="en-GB"/>
        </w:rPr>
        <w:t xml:space="preserve">The underlying policy intent for these uses, as made clear through provincial policy, is to provide the farming community with the services and income-generating opportunities to ensure the </w:t>
      </w:r>
      <w:r w:rsidR="00A06483" w:rsidRPr="002219D8">
        <w:rPr>
          <w:rFonts w:cstheme="minorHAnsi"/>
          <w:szCs w:val="24"/>
          <w:lang w:val="en-GB"/>
        </w:rPr>
        <w:lastRenderedPageBreak/>
        <w:t>on-going viability of agricultural uses</w:t>
      </w:r>
      <w:r w:rsidR="00A06483" w:rsidRPr="002219D8">
        <w:rPr>
          <w:rFonts w:eastAsiaTheme="minorEastAsia" w:cstheme="minorHAnsi"/>
          <w:color w:val="000000" w:themeColor="text1"/>
          <w:kern w:val="24"/>
          <w:szCs w:val="24"/>
          <w:lang w:eastAsia="en-CA"/>
        </w:rPr>
        <w:t xml:space="preserve">, regardless of whether the operation is situated in an identified prime agricultural area. </w:t>
      </w:r>
    </w:p>
    <w:p w14:paraId="4AD590AF" w14:textId="77777777" w:rsidR="00A06483" w:rsidRDefault="00A06483" w:rsidP="00A06483">
      <w:pPr>
        <w:spacing w:after="0"/>
        <w:contextualSpacing/>
        <w:rPr>
          <w:rFonts w:eastAsiaTheme="minorEastAsia" w:hAnsi="Calibri"/>
          <w:color w:val="000000" w:themeColor="text1"/>
          <w:kern w:val="24"/>
          <w:szCs w:val="24"/>
          <w:lang w:eastAsia="en-CA"/>
        </w:rPr>
      </w:pPr>
    </w:p>
    <w:p w14:paraId="2D196685" w14:textId="7FF10D3C" w:rsidR="00D47DA5" w:rsidRPr="00A06483" w:rsidRDefault="00D47DA5" w:rsidP="00A06483">
      <w:pPr>
        <w:spacing w:after="0"/>
        <w:contextualSpacing/>
        <w:rPr>
          <w:rFonts w:eastAsiaTheme="minorEastAsia" w:hAnsi="Calibri"/>
          <w:color w:val="000000" w:themeColor="text1"/>
          <w:kern w:val="24"/>
          <w:szCs w:val="24"/>
          <w:lang w:eastAsia="en-CA"/>
        </w:rPr>
      </w:pPr>
      <w:r w:rsidRPr="009E3CC4">
        <w:rPr>
          <w:rFonts w:ascii="Arial" w:hAnsi="Arial" w:cs="Arial"/>
          <w:color w:val="000000" w:themeColor="text1"/>
          <w:szCs w:val="24"/>
          <w:lang w:val="en-US"/>
        </w:rPr>
        <w:t xml:space="preserve">NEC staff </w:t>
      </w:r>
      <w:r>
        <w:rPr>
          <w:rFonts w:ascii="Arial" w:hAnsi="Arial" w:cs="Arial"/>
          <w:color w:val="000000" w:themeColor="text1"/>
          <w:szCs w:val="24"/>
          <w:lang w:val="en-US"/>
        </w:rPr>
        <w:t xml:space="preserve">have </w:t>
      </w:r>
      <w:r w:rsidRPr="009E3CC4">
        <w:rPr>
          <w:rFonts w:ascii="Arial" w:hAnsi="Arial" w:cs="Arial"/>
          <w:color w:val="000000" w:themeColor="text1"/>
          <w:szCs w:val="24"/>
          <w:lang w:val="en-US"/>
        </w:rPr>
        <w:t xml:space="preserve">engaged </w:t>
      </w:r>
      <w:r>
        <w:rPr>
          <w:rFonts w:ascii="Arial" w:hAnsi="Arial" w:cs="Arial"/>
          <w:color w:val="000000" w:themeColor="text1"/>
          <w:szCs w:val="24"/>
          <w:lang w:val="en-US"/>
        </w:rPr>
        <w:t xml:space="preserve">with </w:t>
      </w:r>
      <w:r w:rsidRPr="009E3CC4">
        <w:rPr>
          <w:rFonts w:ascii="Arial" w:hAnsi="Arial" w:cs="Arial"/>
          <w:color w:val="000000" w:themeColor="text1"/>
          <w:szCs w:val="24"/>
          <w:lang w:val="en-US"/>
        </w:rPr>
        <w:t>M</w:t>
      </w:r>
      <w:r>
        <w:rPr>
          <w:rFonts w:ascii="Arial" w:hAnsi="Arial" w:cs="Arial"/>
          <w:color w:val="000000" w:themeColor="text1"/>
          <w:szCs w:val="24"/>
          <w:lang w:val="en-US"/>
        </w:rPr>
        <w:t xml:space="preserve">inistry of </w:t>
      </w:r>
      <w:r w:rsidRPr="009E3CC4">
        <w:rPr>
          <w:rFonts w:ascii="Arial" w:hAnsi="Arial" w:cs="Arial"/>
          <w:color w:val="000000" w:themeColor="text1"/>
          <w:szCs w:val="24"/>
          <w:lang w:val="en-US"/>
        </w:rPr>
        <w:t>N</w:t>
      </w:r>
      <w:r>
        <w:rPr>
          <w:rFonts w:ascii="Arial" w:hAnsi="Arial" w:cs="Arial"/>
          <w:color w:val="000000" w:themeColor="text1"/>
          <w:szCs w:val="24"/>
          <w:lang w:val="en-US"/>
        </w:rPr>
        <w:t xml:space="preserve">orthern </w:t>
      </w:r>
      <w:r w:rsidRPr="009E3CC4">
        <w:rPr>
          <w:rFonts w:ascii="Arial" w:hAnsi="Arial" w:cs="Arial"/>
          <w:color w:val="000000" w:themeColor="text1"/>
          <w:szCs w:val="24"/>
          <w:lang w:val="en-US"/>
        </w:rPr>
        <w:t>D</w:t>
      </w:r>
      <w:r>
        <w:rPr>
          <w:rFonts w:ascii="Arial" w:hAnsi="Arial" w:cs="Arial"/>
          <w:color w:val="000000" w:themeColor="text1"/>
          <w:szCs w:val="24"/>
          <w:lang w:val="en-US"/>
        </w:rPr>
        <w:t xml:space="preserve">evelopment, </w:t>
      </w:r>
      <w:r w:rsidRPr="009E3CC4">
        <w:rPr>
          <w:rFonts w:ascii="Arial" w:hAnsi="Arial" w:cs="Arial"/>
          <w:color w:val="000000" w:themeColor="text1"/>
          <w:szCs w:val="24"/>
          <w:lang w:val="en-US"/>
        </w:rPr>
        <w:t>M</w:t>
      </w:r>
      <w:r>
        <w:rPr>
          <w:rFonts w:ascii="Arial" w:hAnsi="Arial" w:cs="Arial"/>
          <w:color w:val="000000" w:themeColor="text1"/>
          <w:szCs w:val="24"/>
          <w:lang w:val="en-US"/>
        </w:rPr>
        <w:t xml:space="preserve">ines, </w:t>
      </w:r>
      <w:r w:rsidRPr="009E3CC4">
        <w:rPr>
          <w:rFonts w:ascii="Arial" w:hAnsi="Arial" w:cs="Arial"/>
          <w:color w:val="000000" w:themeColor="text1"/>
          <w:szCs w:val="24"/>
        </w:rPr>
        <w:t>N</w:t>
      </w:r>
      <w:r>
        <w:rPr>
          <w:rFonts w:ascii="Arial" w:hAnsi="Arial" w:cs="Arial"/>
          <w:color w:val="000000" w:themeColor="text1"/>
          <w:szCs w:val="24"/>
        </w:rPr>
        <w:t xml:space="preserve">atural </w:t>
      </w:r>
      <w:r w:rsidRPr="009E3CC4">
        <w:rPr>
          <w:rFonts w:ascii="Arial" w:hAnsi="Arial" w:cs="Arial"/>
          <w:color w:val="000000" w:themeColor="text1"/>
          <w:szCs w:val="24"/>
        </w:rPr>
        <w:t>R</w:t>
      </w:r>
      <w:r>
        <w:rPr>
          <w:rFonts w:ascii="Arial" w:hAnsi="Arial" w:cs="Arial"/>
          <w:color w:val="000000" w:themeColor="text1"/>
          <w:szCs w:val="24"/>
        </w:rPr>
        <w:t xml:space="preserve">esources and </w:t>
      </w:r>
      <w:r w:rsidRPr="009E3CC4">
        <w:rPr>
          <w:rFonts w:ascii="Arial" w:hAnsi="Arial" w:cs="Arial"/>
          <w:color w:val="000000" w:themeColor="text1"/>
          <w:szCs w:val="24"/>
        </w:rPr>
        <w:t>F</w:t>
      </w:r>
      <w:r>
        <w:rPr>
          <w:rFonts w:ascii="Arial" w:hAnsi="Arial" w:cs="Arial"/>
          <w:color w:val="000000" w:themeColor="text1"/>
          <w:szCs w:val="24"/>
        </w:rPr>
        <w:t>orestry (MNDMNR</w:t>
      </w:r>
      <w:r w:rsidR="000E76D7">
        <w:rPr>
          <w:rFonts w:ascii="Arial" w:hAnsi="Arial" w:cs="Arial"/>
          <w:color w:val="000000" w:themeColor="text1"/>
          <w:szCs w:val="24"/>
        </w:rPr>
        <w:t>F)</w:t>
      </w:r>
      <w:r w:rsidRPr="009E3CC4">
        <w:rPr>
          <w:rFonts w:ascii="Arial" w:hAnsi="Arial" w:cs="Arial"/>
          <w:color w:val="000000" w:themeColor="text1"/>
          <w:szCs w:val="24"/>
        </w:rPr>
        <w:t xml:space="preserve"> policy staff to better understand the intent of this policy </w:t>
      </w:r>
      <w:r w:rsidR="00B9583C">
        <w:rPr>
          <w:rFonts w:ascii="Arial" w:hAnsi="Arial" w:cs="Arial"/>
          <w:color w:val="000000" w:themeColor="text1"/>
          <w:szCs w:val="24"/>
        </w:rPr>
        <w:t xml:space="preserve">that emerged </w:t>
      </w:r>
      <w:r w:rsidR="00425B3A">
        <w:rPr>
          <w:rFonts w:ascii="Arial" w:hAnsi="Arial" w:cs="Arial"/>
          <w:color w:val="000000" w:themeColor="text1"/>
          <w:szCs w:val="24"/>
        </w:rPr>
        <w:t xml:space="preserve">through the Coordinated Review, </w:t>
      </w:r>
      <w:r>
        <w:rPr>
          <w:rFonts w:ascii="Arial" w:hAnsi="Arial" w:cs="Arial"/>
          <w:color w:val="000000" w:themeColor="text1"/>
          <w:szCs w:val="24"/>
        </w:rPr>
        <w:t xml:space="preserve">to aid </w:t>
      </w:r>
      <w:r w:rsidRPr="009E3CC4">
        <w:rPr>
          <w:rFonts w:ascii="Arial" w:hAnsi="Arial" w:cs="Arial"/>
          <w:color w:val="000000" w:themeColor="text1"/>
          <w:szCs w:val="24"/>
        </w:rPr>
        <w:t xml:space="preserve">with implementation.  </w:t>
      </w:r>
      <w:r>
        <w:rPr>
          <w:rFonts w:ascii="Arial" w:hAnsi="Arial" w:cs="Arial"/>
          <w:color w:val="000000" w:themeColor="text1"/>
          <w:szCs w:val="24"/>
        </w:rPr>
        <w:t>MNDMNRF policy staff provided that f</w:t>
      </w:r>
      <w:r w:rsidRPr="009E3CC4">
        <w:rPr>
          <w:rFonts w:ascii="Arial" w:hAnsi="Arial" w:cs="Arial"/>
          <w:color w:val="000000" w:themeColor="text1"/>
          <w:szCs w:val="24"/>
        </w:rPr>
        <w:t xml:space="preserve">or the Escarpment Protection Area designation, the focus of </w:t>
      </w:r>
      <w:r>
        <w:rPr>
          <w:rFonts w:ascii="Arial" w:hAnsi="Arial" w:cs="Arial"/>
          <w:color w:val="000000" w:themeColor="text1"/>
          <w:szCs w:val="24"/>
        </w:rPr>
        <w:t>OFDUs</w:t>
      </w:r>
      <w:r w:rsidRPr="009E3CC4">
        <w:rPr>
          <w:rFonts w:ascii="Arial" w:hAnsi="Arial" w:cs="Arial"/>
          <w:color w:val="000000" w:themeColor="text1"/>
          <w:szCs w:val="24"/>
        </w:rPr>
        <w:t xml:space="preserve"> </w:t>
      </w:r>
      <w:r>
        <w:rPr>
          <w:rFonts w:ascii="Arial" w:hAnsi="Arial" w:cs="Arial"/>
          <w:color w:val="000000" w:themeColor="text1"/>
          <w:szCs w:val="24"/>
        </w:rPr>
        <w:t xml:space="preserve">and ARUs </w:t>
      </w:r>
      <w:r w:rsidRPr="009E3CC4">
        <w:rPr>
          <w:rFonts w:ascii="Arial" w:hAnsi="Arial" w:cs="Arial"/>
          <w:color w:val="000000" w:themeColor="text1"/>
          <w:szCs w:val="24"/>
        </w:rPr>
        <w:t>was</w:t>
      </w:r>
      <w:r>
        <w:rPr>
          <w:rFonts w:ascii="Arial" w:hAnsi="Arial" w:cs="Arial"/>
          <w:color w:val="000000" w:themeColor="text1"/>
          <w:szCs w:val="24"/>
        </w:rPr>
        <w:t xml:space="preserve"> to direct them </w:t>
      </w:r>
      <w:r w:rsidRPr="009E3CC4">
        <w:rPr>
          <w:rFonts w:ascii="Arial" w:hAnsi="Arial" w:cs="Arial"/>
          <w:color w:val="000000" w:themeColor="text1"/>
          <w:szCs w:val="24"/>
        </w:rPr>
        <w:t xml:space="preserve">to </w:t>
      </w:r>
      <w:r>
        <w:rPr>
          <w:rFonts w:ascii="Arial" w:hAnsi="Arial" w:cs="Arial"/>
          <w:color w:val="000000" w:themeColor="text1"/>
          <w:szCs w:val="24"/>
        </w:rPr>
        <w:t xml:space="preserve">prime agricultural areas </w:t>
      </w:r>
      <w:r w:rsidRPr="009E3CC4">
        <w:rPr>
          <w:rFonts w:ascii="Arial" w:hAnsi="Arial" w:cs="Arial"/>
          <w:color w:val="000000" w:themeColor="text1"/>
          <w:szCs w:val="24"/>
        </w:rPr>
        <w:t xml:space="preserve">only and </w:t>
      </w:r>
      <w:r>
        <w:rPr>
          <w:rFonts w:ascii="Arial" w:hAnsi="Arial" w:cs="Arial"/>
          <w:color w:val="000000" w:themeColor="text1"/>
          <w:szCs w:val="24"/>
        </w:rPr>
        <w:t>not to be</w:t>
      </w:r>
      <w:r w:rsidRPr="009E3CC4">
        <w:rPr>
          <w:rFonts w:ascii="Arial" w:hAnsi="Arial" w:cs="Arial"/>
          <w:color w:val="000000" w:themeColor="text1"/>
          <w:szCs w:val="24"/>
        </w:rPr>
        <w:t xml:space="preserve"> considered in other more “rural” landscape areas. </w:t>
      </w:r>
      <w:r>
        <w:rPr>
          <w:rFonts w:ascii="Arial" w:hAnsi="Arial" w:cs="Arial"/>
          <w:color w:val="000000" w:themeColor="text1"/>
          <w:szCs w:val="24"/>
        </w:rPr>
        <w:t xml:space="preserve">The underlying intention </w:t>
      </w:r>
      <w:r w:rsidR="00425B3A">
        <w:rPr>
          <w:rFonts w:ascii="Arial" w:hAnsi="Arial" w:cs="Arial"/>
          <w:color w:val="000000" w:themeColor="text1"/>
          <w:szCs w:val="24"/>
        </w:rPr>
        <w:t xml:space="preserve">with this approach </w:t>
      </w:r>
      <w:r>
        <w:rPr>
          <w:rFonts w:ascii="Arial" w:hAnsi="Arial" w:cs="Arial"/>
          <w:color w:val="000000" w:themeColor="text1"/>
          <w:szCs w:val="24"/>
        </w:rPr>
        <w:t xml:space="preserve">was to prevent a proliferation of the more intensive, large-scale ARUs and OFDUs </w:t>
      </w:r>
      <w:r w:rsidR="00CC5886">
        <w:rPr>
          <w:rFonts w:ascii="Arial" w:hAnsi="Arial" w:cs="Arial"/>
          <w:color w:val="000000" w:themeColor="text1"/>
          <w:szCs w:val="24"/>
        </w:rPr>
        <w:t xml:space="preserve">(e.g., </w:t>
      </w:r>
      <w:r w:rsidR="009C3B5A">
        <w:rPr>
          <w:rFonts w:ascii="Arial" w:hAnsi="Arial" w:cs="Arial"/>
          <w:color w:val="000000" w:themeColor="text1"/>
          <w:szCs w:val="24"/>
        </w:rPr>
        <w:t xml:space="preserve">large-scale </w:t>
      </w:r>
      <w:r w:rsidR="00CC5886">
        <w:rPr>
          <w:rFonts w:ascii="Arial" w:hAnsi="Arial" w:cs="Arial"/>
          <w:color w:val="000000" w:themeColor="text1"/>
          <w:szCs w:val="24"/>
        </w:rPr>
        <w:t>grain elevators</w:t>
      </w:r>
      <w:r w:rsidR="009C3B5A">
        <w:rPr>
          <w:rFonts w:ascii="Arial" w:hAnsi="Arial" w:cs="Arial"/>
          <w:color w:val="000000" w:themeColor="text1"/>
          <w:szCs w:val="24"/>
        </w:rPr>
        <w:t>, feed mills</w:t>
      </w:r>
      <w:r w:rsidR="00CC5886">
        <w:rPr>
          <w:rFonts w:ascii="Arial" w:hAnsi="Arial" w:cs="Arial"/>
          <w:color w:val="000000" w:themeColor="text1"/>
          <w:szCs w:val="24"/>
        </w:rPr>
        <w:t xml:space="preserve">) </w:t>
      </w:r>
      <w:r>
        <w:rPr>
          <w:rFonts w:ascii="Arial" w:hAnsi="Arial" w:cs="Arial"/>
          <w:color w:val="000000" w:themeColor="text1"/>
          <w:szCs w:val="24"/>
        </w:rPr>
        <w:t xml:space="preserve">on the Escarpment, as such uses could result in a conflict with the Purpose of the NEP respecting the maintenance of open landscape character and the Objectives respecting scenic quality. </w:t>
      </w:r>
    </w:p>
    <w:p w14:paraId="2E422686" w14:textId="7EE3836F" w:rsidR="00F65328" w:rsidRDefault="00F65328" w:rsidP="00F65328">
      <w:pPr>
        <w:spacing w:after="0" w:line="240" w:lineRule="auto"/>
        <w:contextualSpacing/>
        <w:rPr>
          <w:rFonts w:eastAsiaTheme="minorEastAsia" w:hAnsi="Calibri"/>
          <w:color w:val="000000" w:themeColor="text1"/>
          <w:kern w:val="24"/>
          <w:szCs w:val="24"/>
          <w:lang w:eastAsia="en-CA"/>
        </w:rPr>
      </w:pPr>
    </w:p>
    <w:p w14:paraId="6D2BB7EE" w14:textId="31D32CB5" w:rsidR="001A336B" w:rsidRDefault="00F65328" w:rsidP="0086284B">
      <w:pPr>
        <w:spacing w:after="0"/>
        <w:contextualSpacing/>
        <w:rPr>
          <w:rFonts w:eastAsiaTheme="minorEastAsia" w:hAnsi="Calibri"/>
          <w:color w:val="000000" w:themeColor="text1"/>
          <w:kern w:val="24"/>
          <w:szCs w:val="24"/>
          <w:lang w:eastAsia="en-CA"/>
        </w:rPr>
      </w:pPr>
      <w:r w:rsidRPr="00F65328">
        <w:rPr>
          <w:rFonts w:eastAsiaTheme="minorEastAsia" w:hAnsi="Calibri"/>
          <w:color w:val="000000" w:themeColor="text1"/>
          <w:kern w:val="24"/>
          <w:szCs w:val="24"/>
          <w:lang w:eastAsia="en-CA"/>
        </w:rPr>
        <w:t xml:space="preserve">Although there have been relatively few applications </w:t>
      </w:r>
      <w:r w:rsidR="00770B77" w:rsidRPr="00F65328">
        <w:rPr>
          <w:rFonts w:eastAsiaTheme="minorEastAsia" w:hAnsi="Calibri"/>
          <w:color w:val="000000" w:themeColor="text1"/>
          <w:kern w:val="24"/>
          <w:szCs w:val="24"/>
          <w:lang w:eastAsia="en-CA"/>
        </w:rPr>
        <w:t xml:space="preserve">for OFDUs </w:t>
      </w:r>
      <w:r w:rsidR="00770B77">
        <w:rPr>
          <w:rFonts w:eastAsiaTheme="minorEastAsia" w:hAnsi="Calibri"/>
          <w:color w:val="000000" w:themeColor="text1"/>
          <w:kern w:val="24"/>
          <w:szCs w:val="24"/>
          <w:lang w:eastAsia="en-CA"/>
        </w:rPr>
        <w:t xml:space="preserve">and ARUs </w:t>
      </w:r>
      <w:r w:rsidR="00770B77" w:rsidRPr="00F65328">
        <w:rPr>
          <w:rFonts w:eastAsiaTheme="minorEastAsia" w:hAnsi="Calibri"/>
          <w:color w:val="000000" w:themeColor="text1"/>
          <w:kern w:val="24"/>
          <w:szCs w:val="24"/>
          <w:lang w:eastAsia="en-CA"/>
        </w:rPr>
        <w:t>since the 2017 NEP came into force</w:t>
      </w:r>
      <w:r w:rsidR="00770B77" w:rsidRPr="00A53304">
        <w:rPr>
          <w:rFonts w:eastAsiaTheme="minorEastAsia" w:hAnsi="Calibri"/>
          <w:color w:val="000000" w:themeColor="text1"/>
          <w:kern w:val="24"/>
          <w:szCs w:val="24"/>
          <w:lang w:eastAsia="en-CA"/>
        </w:rPr>
        <w:t xml:space="preserve"> </w:t>
      </w:r>
      <w:r w:rsidR="007A3C5C" w:rsidRPr="00A53304">
        <w:rPr>
          <w:rFonts w:eastAsiaTheme="minorEastAsia" w:hAnsi="Calibri"/>
          <w:color w:val="000000" w:themeColor="text1"/>
          <w:kern w:val="24"/>
          <w:szCs w:val="24"/>
          <w:lang w:eastAsia="en-CA"/>
        </w:rPr>
        <w:t>(</w:t>
      </w:r>
      <w:r w:rsidR="00A53304" w:rsidRPr="00A53304">
        <w:rPr>
          <w:rFonts w:eastAsiaTheme="minorEastAsia" w:hAnsi="Calibri"/>
          <w:color w:val="000000" w:themeColor="text1"/>
          <w:kern w:val="24"/>
          <w:szCs w:val="24"/>
          <w:lang w:eastAsia="en-CA"/>
        </w:rPr>
        <w:t xml:space="preserve">average </w:t>
      </w:r>
      <w:r w:rsidR="00914C97">
        <w:rPr>
          <w:rFonts w:eastAsiaTheme="minorEastAsia" w:hAnsi="Calibri"/>
          <w:color w:val="000000" w:themeColor="text1"/>
          <w:kern w:val="24"/>
          <w:szCs w:val="24"/>
          <w:lang w:eastAsia="en-CA"/>
        </w:rPr>
        <w:t>of approximately 7</w:t>
      </w:r>
      <w:r w:rsidR="00A53304" w:rsidRPr="00A53304">
        <w:rPr>
          <w:rFonts w:eastAsiaTheme="minorEastAsia" w:hAnsi="Calibri"/>
          <w:color w:val="000000" w:themeColor="text1"/>
          <w:kern w:val="24"/>
          <w:szCs w:val="24"/>
          <w:lang w:eastAsia="en-CA"/>
        </w:rPr>
        <w:t xml:space="preserve"> per </w:t>
      </w:r>
      <w:r w:rsidR="007A3C5C" w:rsidRPr="00A53304">
        <w:rPr>
          <w:rFonts w:eastAsiaTheme="minorEastAsia" w:hAnsi="Calibri"/>
          <w:color w:val="000000" w:themeColor="text1"/>
          <w:kern w:val="24"/>
          <w:szCs w:val="24"/>
          <w:lang w:eastAsia="en-CA"/>
        </w:rPr>
        <w:t>year</w:t>
      </w:r>
      <w:r w:rsidR="007A3C5C">
        <w:rPr>
          <w:rFonts w:eastAsiaTheme="minorEastAsia" w:hAnsi="Calibri"/>
          <w:color w:val="000000" w:themeColor="text1"/>
          <w:kern w:val="24"/>
          <w:szCs w:val="24"/>
          <w:lang w:eastAsia="en-CA"/>
        </w:rPr>
        <w:t>)</w:t>
      </w:r>
      <w:r w:rsidRPr="00F65328">
        <w:rPr>
          <w:rFonts w:eastAsiaTheme="minorEastAsia" w:hAnsi="Calibri"/>
          <w:color w:val="000000" w:themeColor="text1"/>
          <w:kern w:val="24"/>
          <w:szCs w:val="24"/>
          <w:lang w:eastAsia="en-CA"/>
        </w:rPr>
        <w:t>,</w:t>
      </w:r>
      <w:r w:rsidR="00213727">
        <w:rPr>
          <w:rFonts w:eastAsiaTheme="minorEastAsia" w:hAnsi="Calibri"/>
          <w:color w:val="000000" w:themeColor="text1"/>
          <w:kern w:val="24"/>
          <w:szCs w:val="24"/>
          <w:lang w:eastAsia="en-CA"/>
        </w:rPr>
        <w:t xml:space="preserve"> </w:t>
      </w:r>
      <w:r w:rsidR="00380700">
        <w:rPr>
          <w:rFonts w:eastAsiaTheme="minorEastAsia" w:hAnsi="Calibri"/>
          <w:color w:val="000000" w:themeColor="text1"/>
          <w:kern w:val="24"/>
          <w:szCs w:val="24"/>
          <w:lang w:eastAsia="en-CA"/>
        </w:rPr>
        <w:t xml:space="preserve">a small number of these </w:t>
      </w:r>
      <w:r w:rsidR="00213727">
        <w:rPr>
          <w:rFonts w:eastAsiaTheme="minorEastAsia" w:hAnsi="Calibri"/>
          <w:color w:val="000000" w:themeColor="text1"/>
          <w:kern w:val="24"/>
          <w:szCs w:val="24"/>
          <w:lang w:eastAsia="en-CA"/>
        </w:rPr>
        <w:t xml:space="preserve">applications to date have posed </w:t>
      </w:r>
      <w:r w:rsidRPr="00F65328">
        <w:rPr>
          <w:rFonts w:eastAsiaTheme="minorEastAsia" w:hAnsi="Calibri"/>
          <w:color w:val="000000" w:themeColor="text1"/>
          <w:kern w:val="24"/>
          <w:szCs w:val="24"/>
          <w:lang w:eastAsia="en-CA"/>
        </w:rPr>
        <w:t xml:space="preserve">challenges </w:t>
      </w:r>
      <w:r w:rsidR="00213727">
        <w:rPr>
          <w:rFonts w:eastAsiaTheme="minorEastAsia" w:hAnsi="Calibri"/>
          <w:color w:val="000000" w:themeColor="text1"/>
          <w:kern w:val="24"/>
          <w:szCs w:val="24"/>
          <w:lang w:eastAsia="en-CA"/>
        </w:rPr>
        <w:t xml:space="preserve">for </w:t>
      </w:r>
      <w:r w:rsidR="003878B9">
        <w:rPr>
          <w:rFonts w:eastAsiaTheme="minorEastAsia" w:hAnsi="Calibri"/>
          <w:color w:val="000000" w:themeColor="text1"/>
          <w:kern w:val="24"/>
          <w:szCs w:val="24"/>
          <w:lang w:eastAsia="en-CA"/>
        </w:rPr>
        <w:t>staff and the Commission</w:t>
      </w:r>
      <w:r w:rsidRPr="00F65328">
        <w:rPr>
          <w:rFonts w:eastAsiaTheme="minorEastAsia" w:hAnsi="Calibri"/>
          <w:color w:val="000000" w:themeColor="text1"/>
          <w:kern w:val="24"/>
          <w:szCs w:val="24"/>
          <w:lang w:eastAsia="en-CA"/>
        </w:rPr>
        <w:t xml:space="preserve"> </w:t>
      </w:r>
      <w:r w:rsidR="003878B9">
        <w:rPr>
          <w:rFonts w:eastAsiaTheme="minorEastAsia" w:hAnsi="Calibri"/>
          <w:color w:val="000000" w:themeColor="text1"/>
          <w:kern w:val="24"/>
          <w:szCs w:val="24"/>
          <w:lang w:eastAsia="en-CA"/>
        </w:rPr>
        <w:t>in assessing</w:t>
      </w:r>
      <w:r w:rsidRPr="00F65328">
        <w:rPr>
          <w:rFonts w:eastAsiaTheme="minorEastAsia" w:hAnsi="Calibri"/>
          <w:color w:val="000000" w:themeColor="text1"/>
          <w:kern w:val="24"/>
          <w:szCs w:val="24"/>
          <w:lang w:eastAsia="en-CA"/>
        </w:rPr>
        <w:t xml:space="preserve"> how proposed OFDUs comply with other NEP policies and </w:t>
      </w:r>
      <w:r w:rsidR="00C13539">
        <w:rPr>
          <w:rFonts w:eastAsiaTheme="minorEastAsia" w:hAnsi="Calibri"/>
          <w:color w:val="000000" w:themeColor="text1"/>
          <w:kern w:val="24"/>
          <w:szCs w:val="24"/>
          <w:lang w:eastAsia="en-CA"/>
        </w:rPr>
        <w:t>D</w:t>
      </w:r>
      <w:r w:rsidRPr="00F65328">
        <w:rPr>
          <w:rFonts w:eastAsiaTheme="minorEastAsia" w:hAnsi="Calibri"/>
          <w:color w:val="000000" w:themeColor="text1"/>
          <w:kern w:val="24"/>
          <w:szCs w:val="24"/>
          <w:lang w:eastAsia="en-CA"/>
        </w:rPr>
        <w:t xml:space="preserve">evelopment </w:t>
      </w:r>
      <w:r w:rsidR="00C13539">
        <w:rPr>
          <w:rFonts w:eastAsiaTheme="minorEastAsia" w:hAnsi="Calibri"/>
          <w:color w:val="000000" w:themeColor="text1"/>
          <w:kern w:val="24"/>
          <w:szCs w:val="24"/>
          <w:lang w:eastAsia="en-CA"/>
        </w:rPr>
        <w:t>C</w:t>
      </w:r>
      <w:r w:rsidRPr="00F65328">
        <w:rPr>
          <w:rFonts w:eastAsiaTheme="minorEastAsia" w:hAnsi="Calibri"/>
          <w:color w:val="000000" w:themeColor="text1"/>
          <w:kern w:val="24"/>
          <w:szCs w:val="24"/>
          <w:lang w:eastAsia="en-CA"/>
        </w:rPr>
        <w:t xml:space="preserve">riteria, </w:t>
      </w:r>
      <w:r w:rsidR="00FB295F">
        <w:rPr>
          <w:rFonts w:eastAsiaTheme="minorEastAsia" w:hAnsi="Calibri"/>
          <w:color w:val="000000" w:themeColor="text1"/>
          <w:kern w:val="24"/>
          <w:szCs w:val="24"/>
          <w:lang w:eastAsia="en-CA"/>
        </w:rPr>
        <w:t xml:space="preserve">and </w:t>
      </w:r>
      <w:r w:rsidR="001B4627">
        <w:rPr>
          <w:rFonts w:eastAsiaTheme="minorEastAsia" w:hAnsi="Calibri"/>
          <w:color w:val="000000" w:themeColor="text1"/>
          <w:kern w:val="24"/>
          <w:szCs w:val="24"/>
          <w:lang w:eastAsia="en-CA"/>
        </w:rPr>
        <w:t>determining land use</w:t>
      </w:r>
      <w:r w:rsidR="00FB295F">
        <w:rPr>
          <w:rFonts w:eastAsiaTheme="minorEastAsia" w:hAnsi="Calibri"/>
          <w:color w:val="000000" w:themeColor="text1"/>
          <w:kern w:val="24"/>
          <w:szCs w:val="24"/>
          <w:lang w:eastAsia="en-CA"/>
        </w:rPr>
        <w:t xml:space="preserve"> compatib</w:t>
      </w:r>
      <w:r w:rsidR="001B4627">
        <w:rPr>
          <w:rFonts w:eastAsiaTheme="minorEastAsia" w:hAnsi="Calibri"/>
          <w:color w:val="000000" w:themeColor="text1"/>
          <w:kern w:val="24"/>
          <w:szCs w:val="24"/>
          <w:lang w:eastAsia="en-CA"/>
        </w:rPr>
        <w:t>ility</w:t>
      </w:r>
      <w:r w:rsidR="00FB295F">
        <w:rPr>
          <w:rFonts w:eastAsiaTheme="minorEastAsia" w:hAnsi="Calibri"/>
          <w:color w:val="000000" w:themeColor="text1"/>
          <w:kern w:val="24"/>
          <w:szCs w:val="24"/>
          <w:lang w:eastAsia="en-CA"/>
        </w:rPr>
        <w:t xml:space="preserve"> with the surrounding land</w:t>
      </w:r>
      <w:r w:rsidR="001B4627">
        <w:rPr>
          <w:rFonts w:eastAsiaTheme="minorEastAsia" w:hAnsi="Calibri"/>
          <w:color w:val="000000" w:themeColor="text1"/>
          <w:kern w:val="24"/>
          <w:szCs w:val="24"/>
          <w:lang w:eastAsia="en-CA"/>
        </w:rPr>
        <w:t xml:space="preserve"> </w:t>
      </w:r>
      <w:r w:rsidR="00FB295F">
        <w:rPr>
          <w:rFonts w:eastAsiaTheme="minorEastAsia" w:hAnsi="Calibri"/>
          <w:color w:val="000000" w:themeColor="text1"/>
          <w:kern w:val="24"/>
          <w:szCs w:val="24"/>
          <w:lang w:eastAsia="en-CA"/>
        </w:rPr>
        <w:t xml:space="preserve">uses, including other agricultural operations.  </w:t>
      </w:r>
    </w:p>
    <w:p w14:paraId="758136B5" w14:textId="77777777" w:rsidR="00A85DAF" w:rsidRDefault="00A85DAF" w:rsidP="0086284B">
      <w:pPr>
        <w:spacing w:after="0"/>
        <w:contextualSpacing/>
        <w:rPr>
          <w:rFonts w:eastAsiaTheme="minorEastAsia" w:hAnsi="Calibri"/>
          <w:color w:val="000000" w:themeColor="text1"/>
          <w:kern w:val="24"/>
          <w:szCs w:val="24"/>
          <w:lang w:eastAsia="en-CA"/>
        </w:rPr>
      </w:pPr>
    </w:p>
    <w:p w14:paraId="68B1F2F0" w14:textId="03D1E001" w:rsidR="001A336B" w:rsidRPr="001A336B" w:rsidRDefault="001A336B" w:rsidP="0058732F">
      <w:pPr>
        <w:spacing w:after="0"/>
        <w:contextualSpacing/>
        <w:rPr>
          <w:rFonts w:ascii="Times New Roman" w:eastAsia="Times New Roman" w:hAnsi="Times New Roman" w:cs="Times New Roman"/>
          <w:szCs w:val="24"/>
          <w:lang w:eastAsia="en-CA"/>
        </w:rPr>
      </w:pPr>
      <w:r>
        <w:rPr>
          <w:rFonts w:eastAsiaTheme="minorEastAsia" w:hAnsi="Calibri"/>
          <w:color w:val="000000" w:themeColor="text1"/>
          <w:kern w:val="24"/>
          <w:szCs w:val="24"/>
          <w:lang w:eastAsia="en-CA"/>
        </w:rPr>
        <w:t xml:space="preserve">While the </w:t>
      </w:r>
      <w:r w:rsidR="00672231">
        <w:rPr>
          <w:rFonts w:eastAsiaTheme="minorEastAsia" w:hAnsi="Calibri"/>
          <w:color w:val="000000" w:themeColor="text1"/>
          <w:kern w:val="24"/>
          <w:szCs w:val="24"/>
          <w:lang w:eastAsia="en-CA"/>
        </w:rPr>
        <w:t>OMAFRA</w:t>
      </w:r>
      <w:r w:rsidRPr="001A336B">
        <w:rPr>
          <w:rFonts w:eastAsiaTheme="minorEastAsia" w:hAnsi="Calibri"/>
          <w:color w:val="000000" w:themeColor="text1"/>
          <w:kern w:val="24"/>
          <w:szCs w:val="24"/>
          <w:lang w:eastAsia="en-CA"/>
        </w:rPr>
        <w:t xml:space="preserve"> </w:t>
      </w:r>
      <w:r w:rsidRPr="00506129">
        <w:rPr>
          <w:rFonts w:eastAsiaTheme="minorEastAsia" w:hAnsi="Calibri"/>
          <w:i/>
          <w:iCs/>
          <w:color w:val="000000" w:themeColor="text1"/>
          <w:kern w:val="24"/>
          <w:szCs w:val="24"/>
          <w:lang w:eastAsia="en-CA"/>
        </w:rPr>
        <w:t>Guidelines on Permitted Uses in Prime Agricultural Areas</w:t>
      </w:r>
      <w:r w:rsidRPr="001A336B">
        <w:rPr>
          <w:rFonts w:eastAsiaTheme="minorEastAsia" w:hAnsi="Calibri"/>
          <w:color w:val="000000" w:themeColor="text1"/>
          <w:kern w:val="24"/>
          <w:szCs w:val="24"/>
          <w:lang w:eastAsia="en-CA"/>
        </w:rPr>
        <w:t xml:space="preserve"> are available to support interpretation of related policies in the PPS, </w:t>
      </w:r>
      <w:r w:rsidR="0058732F">
        <w:rPr>
          <w:rFonts w:eastAsiaTheme="minorEastAsia" w:hAnsi="Calibri"/>
          <w:color w:val="000000" w:themeColor="text1"/>
          <w:kern w:val="24"/>
          <w:szCs w:val="24"/>
          <w:lang w:eastAsia="en-CA"/>
        </w:rPr>
        <w:t>it is important to remember that</w:t>
      </w:r>
      <w:r w:rsidRPr="001A336B">
        <w:rPr>
          <w:rFonts w:eastAsiaTheme="minorEastAsia" w:hAnsi="Calibri"/>
          <w:color w:val="000000" w:themeColor="text1"/>
          <w:kern w:val="24"/>
          <w:szCs w:val="24"/>
          <w:lang w:eastAsia="en-CA"/>
        </w:rPr>
        <w:t xml:space="preserve"> these Guidelines must still be viewed through the lens of the </w:t>
      </w:r>
      <w:r w:rsidR="0058732F">
        <w:rPr>
          <w:rFonts w:eastAsiaTheme="minorEastAsia" w:hAnsi="Calibri"/>
          <w:color w:val="000000" w:themeColor="text1"/>
          <w:kern w:val="24"/>
          <w:szCs w:val="24"/>
          <w:lang w:eastAsia="en-CA"/>
        </w:rPr>
        <w:t>NEP</w:t>
      </w:r>
      <w:r w:rsidRPr="001A336B">
        <w:rPr>
          <w:rFonts w:eastAsiaTheme="minorEastAsia" w:hAnsi="Calibri"/>
          <w:color w:val="000000" w:themeColor="text1"/>
          <w:kern w:val="24"/>
          <w:szCs w:val="24"/>
          <w:lang w:eastAsia="en-CA"/>
        </w:rPr>
        <w:t xml:space="preserve">, and </w:t>
      </w:r>
      <w:r w:rsidR="0058732F">
        <w:rPr>
          <w:rFonts w:eastAsiaTheme="minorEastAsia" w:hAnsi="Calibri"/>
          <w:color w:val="000000" w:themeColor="text1"/>
          <w:kern w:val="24"/>
          <w:szCs w:val="24"/>
          <w:lang w:eastAsia="en-CA"/>
        </w:rPr>
        <w:t>recognizing</w:t>
      </w:r>
      <w:r w:rsidRPr="001A336B">
        <w:rPr>
          <w:rFonts w:eastAsiaTheme="minorEastAsia" w:hAnsi="Calibri"/>
          <w:color w:val="000000" w:themeColor="text1"/>
          <w:kern w:val="24"/>
          <w:szCs w:val="24"/>
          <w:lang w:eastAsia="en-CA"/>
        </w:rPr>
        <w:t xml:space="preserve"> that provincial plan policies</w:t>
      </w:r>
      <w:r w:rsidR="009C3B5A">
        <w:rPr>
          <w:rFonts w:eastAsiaTheme="minorEastAsia" w:hAnsi="Calibri"/>
          <w:color w:val="000000" w:themeColor="text1"/>
          <w:kern w:val="24"/>
          <w:szCs w:val="24"/>
          <w:lang w:eastAsia="en-CA"/>
        </w:rPr>
        <w:t xml:space="preserve"> (including the NEP)</w:t>
      </w:r>
      <w:r w:rsidRPr="001A336B">
        <w:rPr>
          <w:rFonts w:eastAsiaTheme="minorEastAsia" w:hAnsi="Calibri"/>
          <w:color w:val="000000" w:themeColor="text1"/>
          <w:kern w:val="24"/>
          <w:szCs w:val="24"/>
          <w:lang w:eastAsia="en-CA"/>
        </w:rPr>
        <w:t xml:space="preserve"> take precedence over the PPS to the extent of any conflict.</w:t>
      </w:r>
      <w:r w:rsidR="00A85DAF">
        <w:rPr>
          <w:rFonts w:eastAsiaTheme="minorEastAsia" w:hAnsi="Calibri"/>
          <w:color w:val="000000" w:themeColor="text1"/>
          <w:kern w:val="24"/>
          <w:szCs w:val="24"/>
          <w:lang w:eastAsia="en-CA"/>
        </w:rPr>
        <w:t xml:space="preserve"> NEC staff have consulted with </w:t>
      </w:r>
      <w:r w:rsidR="00672231">
        <w:rPr>
          <w:rFonts w:eastAsiaTheme="minorEastAsia" w:hAnsi="Calibri"/>
          <w:color w:val="000000" w:themeColor="text1"/>
          <w:kern w:val="24"/>
          <w:szCs w:val="24"/>
          <w:lang w:eastAsia="en-CA"/>
        </w:rPr>
        <w:t xml:space="preserve">OMAFRA on </w:t>
      </w:r>
      <w:r w:rsidR="00C8488E">
        <w:rPr>
          <w:rFonts w:eastAsiaTheme="minorEastAsia" w:hAnsi="Calibri"/>
          <w:color w:val="000000" w:themeColor="text1"/>
          <w:kern w:val="24"/>
          <w:szCs w:val="24"/>
          <w:lang w:eastAsia="en-CA"/>
        </w:rPr>
        <w:t>several</w:t>
      </w:r>
      <w:r w:rsidR="00672231">
        <w:rPr>
          <w:rFonts w:eastAsiaTheme="minorEastAsia" w:hAnsi="Calibri"/>
          <w:color w:val="000000" w:themeColor="text1"/>
          <w:kern w:val="24"/>
          <w:szCs w:val="24"/>
          <w:lang w:eastAsia="en-CA"/>
        </w:rPr>
        <w:t xml:space="preserve"> occasions </w:t>
      </w:r>
      <w:r w:rsidR="00C8488E">
        <w:rPr>
          <w:rFonts w:eastAsiaTheme="minorEastAsia" w:hAnsi="Calibri"/>
          <w:color w:val="000000" w:themeColor="text1"/>
          <w:kern w:val="24"/>
          <w:szCs w:val="24"/>
          <w:lang w:eastAsia="en-CA"/>
        </w:rPr>
        <w:t xml:space="preserve">to get support for policy and </w:t>
      </w:r>
      <w:r w:rsidR="009C3B5A">
        <w:rPr>
          <w:rFonts w:eastAsiaTheme="minorEastAsia" w:hAnsi="Calibri"/>
          <w:color w:val="000000" w:themeColor="text1"/>
          <w:kern w:val="24"/>
          <w:szCs w:val="24"/>
          <w:lang w:eastAsia="en-CA"/>
        </w:rPr>
        <w:t>g</w:t>
      </w:r>
      <w:r w:rsidR="00C8488E">
        <w:rPr>
          <w:rFonts w:eastAsiaTheme="minorEastAsia" w:hAnsi="Calibri"/>
          <w:color w:val="000000" w:themeColor="text1"/>
          <w:kern w:val="24"/>
          <w:szCs w:val="24"/>
          <w:lang w:eastAsia="en-CA"/>
        </w:rPr>
        <w:t xml:space="preserve">uideline interpretation and implementation. NEC staff will be continuing to consult with </w:t>
      </w:r>
      <w:r w:rsidR="00E91958">
        <w:rPr>
          <w:rFonts w:eastAsiaTheme="minorEastAsia" w:hAnsi="Calibri"/>
          <w:color w:val="000000" w:themeColor="text1"/>
          <w:kern w:val="24"/>
          <w:szCs w:val="24"/>
          <w:lang w:eastAsia="en-CA"/>
        </w:rPr>
        <w:t xml:space="preserve">our </w:t>
      </w:r>
      <w:r w:rsidR="00C8488E">
        <w:rPr>
          <w:rFonts w:eastAsiaTheme="minorEastAsia" w:hAnsi="Calibri"/>
          <w:color w:val="000000" w:themeColor="text1"/>
          <w:kern w:val="24"/>
          <w:szCs w:val="24"/>
          <w:lang w:eastAsia="en-CA"/>
        </w:rPr>
        <w:t>OMAFRA colleagues</w:t>
      </w:r>
      <w:r w:rsidR="00A06042">
        <w:rPr>
          <w:rFonts w:eastAsiaTheme="minorEastAsia" w:hAnsi="Calibri"/>
          <w:color w:val="000000" w:themeColor="text1"/>
          <w:kern w:val="24"/>
          <w:szCs w:val="24"/>
          <w:lang w:eastAsia="en-CA"/>
        </w:rPr>
        <w:t xml:space="preserve"> in the development of either </w:t>
      </w:r>
      <w:r w:rsidR="009C3B5A">
        <w:rPr>
          <w:rFonts w:eastAsiaTheme="minorEastAsia" w:hAnsi="Calibri"/>
          <w:color w:val="000000" w:themeColor="text1"/>
          <w:kern w:val="24"/>
          <w:szCs w:val="24"/>
          <w:lang w:eastAsia="en-CA"/>
        </w:rPr>
        <w:t>p</w:t>
      </w:r>
      <w:r w:rsidR="00A06042">
        <w:rPr>
          <w:rFonts w:eastAsiaTheme="minorEastAsia" w:hAnsi="Calibri"/>
          <w:color w:val="000000" w:themeColor="text1"/>
          <w:kern w:val="24"/>
          <w:szCs w:val="24"/>
          <w:lang w:eastAsia="en-CA"/>
        </w:rPr>
        <w:t xml:space="preserve">olicy </w:t>
      </w:r>
      <w:r w:rsidR="009C3B5A">
        <w:rPr>
          <w:rFonts w:eastAsiaTheme="minorEastAsia" w:hAnsi="Calibri"/>
          <w:color w:val="000000" w:themeColor="text1"/>
          <w:kern w:val="24"/>
          <w:szCs w:val="24"/>
          <w:lang w:eastAsia="en-CA"/>
        </w:rPr>
        <w:t>g</w:t>
      </w:r>
      <w:r w:rsidR="00A06042">
        <w:rPr>
          <w:rFonts w:eastAsiaTheme="minorEastAsia" w:hAnsi="Calibri"/>
          <w:color w:val="000000" w:themeColor="text1"/>
          <w:kern w:val="24"/>
          <w:szCs w:val="24"/>
          <w:lang w:eastAsia="en-CA"/>
        </w:rPr>
        <w:t xml:space="preserve">uidelines and/or </w:t>
      </w:r>
      <w:r w:rsidR="00E91958">
        <w:rPr>
          <w:rFonts w:eastAsiaTheme="minorEastAsia" w:hAnsi="Calibri"/>
          <w:color w:val="000000" w:themeColor="text1"/>
          <w:kern w:val="24"/>
          <w:szCs w:val="24"/>
          <w:lang w:eastAsia="en-CA"/>
        </w:rPr>
        <w:t xml:space="preserve">a </w:t>
      </w:r>
      <w:r w:rsidR="00A06042">
        <w:rPr>
          <w:rFonts w:eastAsiaTheme="minorEastAsia" w:hAnsi="Calibri"/>
          <w:color w:val="000000" w:themeColor="text1"/>
          <w:kern w:val="24"/>
          <w:szCs w:val="24"/>
          <w:lang w:eastAsia="en-CA"/>
        </w:rPr>
        <w:t xml:space="preserve">potential Plan </w:t>
      </w:r>
      <w:r w:rsidR="009C3B5A">
        <w:rPr>
          <w:rFonts w:eastAsiaTheme="minorEastAsia" w:hAnsi="Calibri"/>
          <w:color w:val="000000" w:themeColor="text1"/>
          <w:kern w:val="24"/>
          <w:szCs w:val="24"/>
          <w:lang w:eastAsia="en-CA"/>
        </w:rPr>
        <w:t>a</w:t>
      </w:r>
      <w:r w:rsidR="00A06042">
        <w:rPr>
          <w:rFonts w:eastAsiaTheme="minorEastAsia" w:hAnsi="Calibri"/>
          <w:color w:val="000000" w:themeColor="text1"/>
          <w:kern w:val="24"/>
          <w:szCs w:val="24"/>
          <w:lang w:eastAsia="en-CA"/>
        </w:rPr>
        <w:t xml:space="preserve">mendment. </w:t>
      </w:r>
      <w:r w:rsidR="00C8488E">
        <w:rPr>
          <w:rFonts w:eastAsiaTheme="minorEastAsia" w:hAnsi="Calibri"/>
          <w:color w:val="000000" w:themeColor="text1"/>
          <w:kern w:val="24"/>
          <w:szCs w:val="24"/>
          <w:lang w:eastAsia="en-CA"/>
        </w:rPr>
        <w:t xml:space="preserve"> </w:t>
      </w:r>
    </w:p>
    <w:p w14:paraId="27275E11" w14:textId="77777777" w:rsidR="0058732F" w:rsidRDefault="0058732F" w:rsidP="0058732F">
      <w:pPr>
        <w:spacing w:after="0" w:line="240" w:lineRule="auto"/>
        <w:contextualSpacing/>
        <w:rPr>
          <w:rFonts w:eastAsiaTheme="minorEastAsia" w:hAnsi="Calibri"/>
          <w:color w:val="000000" w:themeColor="text1"/>
          <w:kern w:val="24"/>
          <w:szCs w:val="24"/>
          <w:lang w:eastAsia="en-CA"/>
        </w:rPr>
      </w:pPr>
    </w:p>
    <w:p w14:paraId="561513F2" w14:textId="45A39764" w:rsidR="009C3B5A" w:rsidRDefault="0058732F" w:rsidP="0086284B">
      <w:pPr>
        <w:spacing w:after="0"/>
        <w:contextualSpacing/>
        <w:rPr>
          <w:rFonts w:eastAsiaTheme="minorEastAsia" w:hAnsi="Calibri"/>
          <w:color w:val="000000" w:themeColor="text1"/>
          <w:kern w:val="24"/>
          <w:szCs w:val="24"/>
          <w:lang w:eastAsia="en-CA"/>
        </w:rPr>
      </w:pPr>
      <w:r>
        <w:rPr>
          <w:rFonts w:eastAsiaTheme="minorEastAsia" w:hAnsi="Calibri"/>
          <w:color w:val="000000" w:themeColor="text1"/>
          <w:kern w:val="24"/>
          <w:szCs w:val="24"/>
          <w:lang w:eastAsia="en-CA"/>
        </w:rPr>
        <w:t>T</w:t>
      </w:r>
      <w:r w:rsidR="00FB295F">
        <w:rPr>
          <w:rFonts w:eastAsiaTheme="minorEastAsia" w:hAnsi="Calibri"/>
          <w:color w:val="000000" w:themeColor="text1"/>
          <w:kern w:val="24"/>
          <w:szCs w:val="24"/>
          <w:lang w:eastAsia="en-CA"/>
        </w:rPr>
        <w:t xml:space="preserve">he broad scope in the types of </w:t>
      </w:r>
      <w:r w:rsidR="00F65328" w:rsidRPr="00F65328">
        <w:rPr>
          <w:rFonts w:eastAsiaTheme="minorEastAsia" w:hAnsi="Calibri"/>
          <w:color w:val="000000" w:themeColor="text1"/>
          <w:kern w:val="24"/>
          <w:szCs w:val="24"/>
          <w:lang w:eastAsia="en-CA"/>
        </w:rPr>
        <w:t xml:space="preserve">OFDUs </w:t>
      </w:r>
      <w:r w:rsidR="00FA27F1">
        <w:rPr>
          <w:rFonts w:eastAsiaTheme="minorEastAsia" w:hAnsi="Calibri"/>
          <w:color w:val="000000" w:themeColor="text1"/>
          <w:kern w:val="24"/>
          <w:szCs w:val="24"/>
          <w:lang w:eastAsia="en-CA"/>
        </w:rPr>
        <w:t>that may be proposed</w:t>
      </w:r>
      <w:r w:rsidR="00862FB2">
        <w:rPr>
          <w:rFonts w:eastAsiaTheme="minorEastAsia" w:hAnsi="Calibri"/>
          <w:color w:val="000000" w:themeColor="text1"/>
          <w:kern w:val="24"/>
          <w:szCs w:val="24"/>
          <w:lang w:eastAsia="en-CA"/>
        </w:rPr>
        <w:t xml:space="preserve"> (</w:t>
      </w:r>
      <w:r w:rsidR="00525839">
        <w:rPr>
          <w:rFonts w:eastAsiaTheme="minorEastAsia" w:hAnsi="Calibri"/>
          <w:color w:val="000000" w:themeColor="text1"/>
          <w:kern w:val="24"/>
          <w:szCs w:val="24"/>
          <w:lang w:eastAsia="en-CA"/>
        </w:rPr>
        <w:t>i.e</w:t>
      </w:r>
      <w:r w:rsidR="009C3B5A">
        <w:rPr>
          <w:rFonts w:eastAsiaTheme="minorEastAsia" w:hAnsi="Calibri"/>
          <w:color w:val="000000" w:themeColor="text1"/>
          <w:kern w:val="24"/>
          <w:szCs w:val="24"/>
          <w:lang w:eastAsia="en-CA"/>
        </w:rPr>
        <w:t>.</w:t>
      </w:r>
      <w:r w:rsidR="00525839">
        <w:rPr>
          <w:rFonts w:eastAsiaTheme="minorEastAsia" w:hAnsi="Calibri"/>
          <w:color w:val="000000" w:themeColor="text1"/>
          <w:kern w:val="24"/>
          <w:szCs w:val="24"/>
          <w:lang w:eastAsia="en-CA"/>
        </w:rPr>
        <w:t xml:space="preserve">, </w:t>
      </w:r>
      <w:r w:rsidR="00862FB2">
        <w:rPr>
          <w:rFonts w:eastAsiaTheme="minorEastAsia" w:hAnsi="Calibri"/>
          <w:color w:val="000000" w:themeColor="text1"/>
          <w:kern w:val="24"/>
          <w:szCs w:val="24"/>
          <w:lang w:eastAsia="en-CA"/>
        </w:rPr>
        <w:t xml:space="preserve">they do not have to be </w:t>
      </w:r>
      <w:r w:rsidR="00525839">
        <w:rPr>
          <w:rFonts w:eastAsiaTheme="minorEastAsia" w:hAnsi="Calibri"/>
          <w:color w:val="000000" w:themeColor="text1"/>
          <w:kern w:val="24"/>
          <w:szCs w:val="24"/>
          <w:lang w:eastAsia="en-CA"/>
        </w:rPr>
        <w:t xml:space="preserve">necessarily </w:t>
      </w:r>
      <w:r w:rsidR="00862FB2">
        <w:rPr>
          <w:rFonts w:eastAsiaTheme="minorEastAsia" w:hAnsi="Calibri"/>
          <w:color w:val="000000" w:themeColor="text1"/>
          <w:kern w:val="24"/>
          <w:szCs w:val="24"/>
          <w:lang w:eastAsia="en-CA"/>
        </w:rPr>
        <w:t>related to agriculture)</w:t>
      </w:r>
      <w:r w:rsidR="00FA27F1">
        <w:rPr>
          <w:rFonts w:eastAsiaTheme="minorEastAsia" w:hAnsi="Calibri"/>
          <w:color w:val="000000" w:themeColor="text1"/>
          <w:kern w:val="24"/>
          <w:szCs w:val="24"/>
          <w:lang w:eastAsia="en-CA"/>
        </w:rPr>
        <w:t xml:space="preserve">, </w:t>
      </w:r>
      <w:r>
        <w:rPr>
          <w:rFonts w:eastAsiaTheme="minorEastAsia" w:hAnsi="Calibri"/>
          <w:color w:val="000000" w:themeColor="text1"/>
          <w:kern w:val="24"/>
          <w:szCs w:val="24"/>
          <w:lang w:eastAsia="en-CA"/>
        </w:rPr>
        <w:t>is challenging from an NEP perspective</w:t>
      </w:r>
      <w:r w:rsidR="00B254F9">
        <w:rPr>
          <w:rFonts w:eastAsiaTheme="minorEastAsia" w:hAnsi="Calibri"/>
          <w:color w:val="000000" w:themeColor="text1"/>
          <w:kern w:val="24"/>
          <w:szCs w:val="24"/>
          <w:lang w:eastAsia="en-CA"/>
        </w:rPr>
        <w:t>.  L</w:t>
      </w:r>
      <w:r w:rsidR="00FA27F1">
        <w:rPr>
          <w:rFonts w:eastAsiaTheme="minorEastAsia" w:hAnsi="Calibri"/>
          <w:color w:val="000000" w:themeColor="text1"/>
          <w:kern w:val="24"/>
          <w:szCs w:val="24"/>
          <w:lang w:eastAsia="en-CA"/>
        </w:rPr>
        <w:t xml:space="preserve">and use conflicts can arise related to </w:t>
      </w:r>
      <w:r w:rsidR="00F65328" w:rsidRPr="00F65328">
        <w:rPr>
          <w:rFonts w:eastAsiaTheme="minorEastAsia" w:hAnsi="Calibri"/>
          <w:color w:val="000000" w:themeColor="text1"/>
          <w:kern w:val="24"/>
          <w:szCs w:val="24"/>
          <w:lang w:eastAsia="en-CA"/>
        </w:rPr>
        <w:t>noise</w:t>
      </w:r>
      <w:r w:rsidR="00FA27F1">
        <w:rPr>
          <w:rFonts w:eastAsiaTheme="minorEastAsia" w:hAnsi="Calibri"/>
          <w:color w:val="000000" w:themeColor="text1"/>
          <w:kern w:val="24"/>
          <w:szCs w:val="24"/>
          <w:lang w:eastAsia="en-CA"/>
        </w:rPr>
        <w:t xml:space="preserve"> and</w:t>
      </w:r>
      <w:r w:rsidR="00F65328" w:rsidRPr="00F65328">
        <w:rPr>
          <w:rFonts w:eastAsiaTheme="minorEastAsia" w:hAnsi="Calibri"/>
          <w:color w:val="000000" w:themeColor="text1"/>
          <w:kern w:val="24"/>
          <w:szCs w:val="24"/>
          <w:lang w:eastAsia="en-CA"/>
        </w:rPr>
        <w:t xml:space="preserve"> traffic</w:t>
      </w:r>
      <w:r w:rsidR="00B254F9">
        <w:rPr>
          <w:rFonts w:eastAsiaTheme="minorEastAsia" w:hAnsi="Calibri"/>
          <w:color w:val="000000" w:themeColor="text1"/>
          <w:kern w:val="24"/>
          <w:szCs w:val="24"/>
          <w:lang w:eastAsia="en-CA"/>
        </w:rPr>
        <w:t>.  They</w:t>
      </w:r>
      <w:r w:rsidR="00F65328" w:rsidRPr="00F65328">
        <w:rPr>
          <w:rFonts w:eastAsiaTheme="minorEastAsia" w:hAnsi="Calibri"/>
          <w:color w:val="000000" w:themeColor="text1"/>
          <w:kern w:val="24"/>
          <w:szCs w:val="24"/>
          <w:lang w:eastAsia="en-CA"/>
        </w:rPr>
        <w:t xml:space="preserve"> </w:t>
      </w:r>
      <w:r w:rsidR="00E73182">
        <w:rPr>
          <w:rFonts w:eastAsiaTheme="minorEastAsia" w:hAnsi="Calibri"/>
          <w:color w:val="000000" w:themeColor="text1"/>
          <w:kern w:val="24"/>
          <w:szCs w:val="24"/>
          <w:lang w:eastAsia="en-CA"/>
        </w:rPr>
        <w:t xml:space="preserve">may </w:t>
      </w:r>
      <w:r w:rsidR="00F65328" w:rsidRPr="00F65328">
        <w:rPr>
          <w:rFonts w:eastAsiaTheme="minorEastAsia" w:hAnsi="Calibri"/>
          <w:color w:val="000000" w:themeColor="text1"/>
          <w:kern w:val="24"/>
          <w:szCs w:val="24"/>
          <w:lang w:eastAsia="en-CA"/>
        </w:rPr>
        <w:t>require extensive site alteration and additional rural servicing that have the potential to create negative impacts on the Escarpment environment</w:t>
      </w:r>
      <w:r w:rsidR="00073BF5">
        <w:rPr>
          <w:rFonts w:eastAsiaTheme="minorEastAsia" w:hAnsi="Calibri"/>
          <w:color w:val="000000" w:themeColor="text1"/>
          <w:kern w:val="24"/>
          <w:szCs w:val="24"/>
          <w:lang w:eastAsia="en-CA"/>
        </w:rPr>
        <w:t xml:space="preserve">, </w:t>
      </w:r>
      <w:r w:rsidR="00B254F9">
        <w:rPr>
          <w:rFonts w:eastAsiaTheme="minorEastAsia" w:hAnsi="Calibri"/>
          <w:color w:val="000000" w:themeColor="text1"/>
          <w:kern w:val="24"/>
          <w:szCs w:val="24"/>
          <w:lang w:eastAsia="en-CA"/>
        </w:rPr>
        <w:t xml:space="preserve">which can </w:t>
      </w:r>
      <w:r w:rsidR="00073BF5">
        <w:rPr>
          <w:rFonts w:eastAsiaTheme="minorEastAsia" w:hAnsi="Calibri"/>
          <w:color w:val="000000" w:themeColor="text1"/>
          <w:kern w:val="24"/>
          <w:szCs w:val="24"/>
          <w:lang w:eastAsia="en-CA"/>
        </w:rPr>
        <w:t xml:space="preserve">compromise the objective related to </w:t>
      </w:r>
      <w:r w:rsidR="00547D29">
        <w:rPr>
          <w:rFonts w:eastAsiaTheme="minorEastAsia" w:hAnsi="Calibri"/>
          <w:color w:val="000000" w:themeColor="text1"/>
          <w:kern w:val="24"/>
          <w:szCs w:val="24"/>
          <w:lang w:eastAsia="en-CA"/>
        </w:rPr>
        <w:t>maintaining and enhancing the open landscape character.</w:t>
      </w:r>
    </w:p>
    <w:p w14:paraId="73B59AB9" w14:textId="6E1C7DDA" w:rsidR="00776272" w:rsidRDefault="00547D29" w:rsidP="0086284B">
      <w:pPr>
        <w:spacing w:after="0"/>
        <w:contextualSpacing/>
        <w:rPr>
          <w:rFonts w:eastAsiaTheme="minorEastAsia" w:hAnsi="Calibri"/>
          <w:color w:val="000000" w:themeColor="text1"/>
          <w:kern w:val="24"/>
          <w:szCs w:val="24"/>
          <w:lang w:eastAsia="en-CA"/>
        </w:rPr>
      </w:pPr>
      <w:r>
        <w:rPr>
          <w:rFonts w:eastAsiaTheme="minorEastAsia" w:hAnsi="Calibri"/>
          <w:color w:val="000000" w:themeColor="text1"/>
          <w:kern w:val="24"/>
          <w:szCs w:val="24"/>
          <w:lang w:eastAsia="en-CA"/>
        </w:rPr>
        <w:t xml:space="preserve"> </w:t>
      </w:r>
      <w:r w:rsidR="00F65328" w:rsidRPr="00F65328">
        <w:rPr>
          <w:rFonts w:eastAsiaTheme="minorEastAsia" w:hAnsi="Calibri"/>
          <w:color w:val="000000" w:themeColor="text1"/>
          <w:kern w:val="24"/>
          <w:szCs w:val="24"/>
          <w:lang w:eastAsia="en-CA"/>
        </w:rPr>
        <w:t xml:space="preserve"> </w:t>
      </w:r>
    </w:p>
    <w:p w14:paraId="0FCAF917" w14:textId="311D2CC4" w:rsidR="001A336B" w:rsidRDefault="003171C9" w:rsidP="00D31232">
      <w:pPr>
        <w:spacing w:after="0"/>
        <w:contextualSpacing/>
        <w:rPr>
          <w:rFonts w:eastAsiaTheme="minorEastAsia" w:hAnsi="Calibri"/>
          <w:color w:val="000000" w:themeColor="text1"/>
          <w:kern w:val="24"/>
          <w:szCs w:val="24"/>
          <w:lang w:eastAsia="en-CA"/>
        </w:rPr>
      </w:pPr>
      <w:r>
        <w:rPr>
          <w:rFonts w:eastAsiaTheme="minorEastAsia" w:hAnsi="Calibri"/>
          <w:color w:val="000000" w:themeColor="text1"/>
          <w:kern w:val="24"/>
          <w:szCs w:val="24"/>
          <w:lang w:eastAsia="en-CA"/>
        </w:rPr>
        <w:t>NEC s</w:t>
      </w:r>
      <w:r w:rsidR="00F65328" w:rsidRPr="00F65328">
        <w:rPr>
          <w:rFonts w:eastAsiaTheme="minorEastAsia" w:hAnsi="Calibri"/>
          <w:color w:val="000000" w:themeColor="text1"/>
          <w:kern w:val="24"/>
          <w:szCs w:val="24"/>
          <w:lang w:eastAsia="en-CA"/>
        </w:rPr>
        <w:t xml:space="preserve">taff </w:t>
      </w:r>
      <w:r>
        <w:rPr>
          <w:rFonts w:eastAsiaTheme="minorEastAsia" w:hAnsi="Calibri"/>
          <w:color w:val="000000" w:themeColor="text1"/>
          <w:kern w:val="24"/>
          <w:szCs w:val="24"/>
          <w:lang w:eastAsia="en-CA"/>
        </w:rPr>
        <w:t>have also</w:t>
      </w:r>
      <w:r w:rsidR="00F65328" w:rsidRPr="00F65328">
        <w:rPr>
          <w:rFonts w:eastAsiaTheme="minorEastAsia" w:hAnsi="Calibri"/>
          <w:color w:val="000000" w:themeColor="text1"/>
          <w:kern w:val="24"/>
          <w:szCs w:val="24"/>
          <w:lang w:eastAsia="en-CA"/>
        </w:rPr>
        <w:t xml:space="preserve"> </w:t>
      </w:r>
      <w:r w:rsidR="00776272">
        <w:rPr>
          <w:rFonts w:eastAsiaTheme="minorEastAsia" w:hAnsi="Calibri"/>
          <w:color w:val="000000" w:themeColor="text1"/>
          <w:kern w:val="24"/>
          <w:szCs w:val="24"/>
          <w:lang w:eastAsia="en-CA"/>
        </w:rPr>
        <w:t>observe</w:t>
      </w:r>
      <w:r>
        <w:rPr>
          <w:rFonts w:eastAsiaTheme="minorEastAsia" w:hAnsi="Calibri"/>
          <w:color w:val="000000" w:themeColor="text1"/>
          <w:kern w:val="24"/>
          <w:szCs w:val="24"/>
          <w:lang w:eastAsia="en-CA"/>
        </w:rPr>
        <w:t>d</w:t>
      </w:r>
      <w:r w:rsidR="00776272">
        <w:rPr>
          <w:rFonts w:eastAsiaTheme="minorEastAsia" w:hAnsi="Calibri"/>
          <w:color w:val="000000" w:themeColor="text1"/>
          <w:kern w:val="24"/>
          <w:szCs w:val="24"/>
          <w:lang w:eastAsia="en-CA"/>
        </w:rPr>
        <w:t xml:space="preserve"> that there appears to be a lack</w:t>
      </w:r>
      <w:r w:rsidR="00F65328" w:rsidRPr="00F65328">
        <w:rPr>
          <w:rFonts w:eastAsiaTheme="minorEastAsia" w:hAnsi="Calibri"/>
          <w:color w:val="000000" w:themeColor="text1"/>
          <w:kern w:val="24"/>
          <w:szCs w:val="24"/>
          <w:lang w:eastAsia="en-CA"/>
        </w:rPr>
        <w:t xml:space="preserve"> of guidance in the 2017 NEP on what types of properties qualify for OFDUs, and what level of commercial </w:t>
      </w:r>
      <w:r w:rsidR="00E73182">
        <w:rPr>
          <w:rFonts w:eastAsiaTheme="minorEastAsia" w:hAnsi="Calibri"/>
          <w:color w:val="000000" w:themeColor="text1"/>
          <w:kern w:val="24"/>
          <w:szCs w:val="24"/>
          <w:lang w:eastAsia="en-CA"/>
        </w:rPr>
        <w:t xml:space="preserve">type </w:t>
      </w:r>
      <w:r w:rsidR="00F65328" w:rsidRPr="00F65328">
        <w:rPr>
          <w:rFonts w:eastAsiaTheme="minorEastAsia" w:hAnsi="Calibri"/>
          <w:color w:val="000000" w:themeColor="text1"/>
          <w:kern w:val="24"/>
          <w:szCs w:val="24"/>
          <w:lang w:eastAsia="en-CA"/>
        </w:rPr>
        <w:t>activit</w:t>
      </w:r>
      <w:r w:rsidR="00E73182">
        <w:rPr>
          <w:rFonts w:eastAsiaTheme="minorEastAsia" w:hAnsi="Calibri"/>
          <w:color w:val="000000" w:themeColor="text1"/>
          <w:kern w:val="24"/>
          <w:szCs w:val="24"/>
          <w:lang w:eastAsia="en-CA"/>
        </w:rPr>
        <w:t>ies</w:t>
      </w:r>
      <w:r w:rsidR="00D40DE6">
        <w:rPr>
          <w:rFonts w:eastAsiaTheme="minorEastAsia" w:hAnsi="Calibri"/>
          <w:color w:val="000000" w:themeColor="text1"/>
          <w:kern w:val="24"/>
          <w:szCs w:val="24"/>
          <w:lang w:eastAsia="en-CA"/>
        </w:rPr>
        <w:t xml:space="preserve"> </w:t>
      </w:r>
      <w:r w:rsidR="001D26F6">
        <w:rPr>
          <w:rFonts w:eastAsiaTheme="minorEastAsia" w:hAnsi="Calibri"/>
          <w:color w:val="000000" w:themeColor="text1"/>
          <w:kern w:val="24"/>
          <w:szCs w:val="24"/>
          <w:lang w:eastAsia="en-CA"/>
        </w:rPr>
        <w:t xml:space="preserve">the </w:t>
      </w:r>
      <w:r w:rsidR="00D40DE6">
        <w:rPr>
          <w:rFonts w:eastAsiaTheme="minorEastAsia" w:hAnsi="Calibri"/>
          <w:color w:val="000000" w:themeColor="text1"/>
          <w:kern w:val="24"/>
          <w:szCs w:val="24"/>
          <w:lang w:eastAsia="en-CA"/>
        </w:rPr>
        <w:t xml:space="preserve">NEP </w:t>
      </w:r>
      <w:r w:rsidR="001D26F6">
        <w:rPr>
          <w:rFonts w:eastAsiaTheme="minorEastAsia" w:hAnsi="Calibri"/>
          <w:color w:val="000000" w:themeColor="text1"/>
          <w:kern w:val="24"/>
          <w:szCs w:val="24"/>
          <w:lang w:eastAsia="en-CA"/>
        </w:rPr>
        <w:t>A</w:t>
      </w:r>
      <w:r w:rsidR="00D40DE6">
        <w:rPr>
          <w:rFonts w:eastAsiaTheme="minorEastAsia" w:hAnsi="Calibri"/>
          <w:color w:val="000000" w:themeColor="text1"/>
          <w:kern w:val="24"/>
          <w:szCs w:val="24"/>
          <w:lang w:eastAsia="en-CA"/>
        </w:rPr>
        <w:t xml:space="preserve">rea </w:t>
      </w:r>
      <w:r w:rsidR="001D26F6">
        <w:rPr>
          <w:rFonts w:eastAsiaTheme="minorEastAsia" w:hAnsi="Calibri"/>
          <w:color w:val="000000" w:themeColor="text1"/>
          <w:kern w:val="24"/>
          <w:szCs w:val="24"/>
          <w:lang w:eastAsia="en-CA"/>
        </w:rPr>
        <w:t xml:space="preserve">can </w:t>
      </w:r>
      <w:r w:rsidR="00D40DE6">
        <w:rPr>
          <w:rFonts w:eastAsiaTheme="minorEastAsia" w:hAnsi="Calibri"/>
          <w:color w:val="000000" w:themeColor="text1"/>
          <w:kern w:val="24"/>
          <w:szCs w:val="24"/>
          <w:lang w:eastAsia="en-CA"/>
        </w:rPr>
        <w:t>support</w:t>
      </w:r>
      <w:r w:rsidR="001D26F6">
        <w:rPr>
          <w:rFonts w:eastAsiaTheme="minorEastAsia" w:hAnsi="Calibri"/>
          <w:color w:val="000000" w:themeColor="text1"/>
          <w:kern w:val="24"/>
          <w:szCs w:val="24"/>
          <w:lang w:eastAsia="en-CA"/>
        </w:rPr>
        <w:t>,</w:t>
      </w:r>
      <w:r w:rsidR="00F65328" w:rsidRPr="00F65328">
        <w:rPr>
          <w:rFonts w:eastAsiaTheme="minorEastAsia" w:hAnsi="Calibri"/>
          <w:color w:val="000000" w:themeColor="text1"/>
          <w:kern w:val="24"/>
          <w:szCs w:val="24"/>
          <w:lang w:eastAsia="en-CA"/>
        </w:rPr>
        <w:t xml:space="preserve"> </w:t>
      </w:r>
      <w:r w:rsidR="00E73182">
        <w:rPr>
          <w:rFonts w:eastAsiaTheme="minorEastAsia" w:hAnsi="Calibri"/>
          <w:color w:val="000000" w:themeColor="text1"/>
          <w:kern w:val="24"/>
          <w:szCs w:val="24"/>
          <w:lang w:eastAsia="en-CA"/>
        </w:rPr>
        <w:t xml:space="preserve">from a cumulative impact perspective, </w:t>
      </w:r>
      <w:r w:rsidR="00D40DE6">
        <w:rPr>
          <w:rFonts w:eastAsiaTheme="minorEastAsia" w:hAnsi="Calibri"/>
          <w:color w:val="000000" w:themeColor="text1"/>
          <w:kern w:val="24"/>
          <w:szCs w:val="24"/>
          <w:lang w:eastAsia="en-CA"/>
        </w:rPr>
        <w:t>before the</w:t>
      </w:r>
      <w:r w:rsidR="00F65328" w:rsidRPr="00F65328">
        <w:rPr>
          <w:rFonts w:eastAsiaTheme="minorEastAsia" w:hAnsi="Calibri"/>
          <w:color w:val="000000" w:themeColor="text1"/>
          <w:kern w:val="24"/>
          <w:szCs w:val="24"/>
          <w:lang w:eastAsia="en-CA"/>
        </w:rPr>
        <w:t xml:space="preserve"> Purpose and Objectives of the NEP</w:t>
      </w:r>
      <w:r w:rsidR="00D40DE6">
        <w:rPr>
          <w:rFonts w:eastAsiaTheme="minorEastAsia" w:hAnsi="Calibri"/>
          <w:color w:val="000000" w:themeColor="text1"/>
          <w:kern w:val="24"/>
          <w:szCs w:val="24"/>
          <w:lang w:eastAsia="en-CA"/>
        </w:rPr>
        <w:t xml:space="preserve"> are compromised</w:t>
      </w:r>
      <w:r w:rsidR="00F65328" w:rsidRPr="00F65328">
        <w:rPr>
          <w:rFonts w:eastAsiaTheme="minorEastAsia" w:hAnsi="Calibri"/>
          <w:color w:val="000000" w:themeColor="text1"/>
          <w:kern w:val="24"/>
          <w:szCs w:val="24"/>
          <w:lang w:eastAsia="en-CA"/>
        </w:rPr>
        <w:t xml:space="preserve">. </w:t>
      </w:r>
      <w:r w:rsidR="006A19A3">
        <w:rPr>
          <w:rFonts w:eastAsiaTheme="minorEastAsia" w:hAnsi="Calibri"/>
          <w:color w:val="000000" w:themeColor="text1"/>
          <w:kern w:val="24"/>
          <w:szCs w:val="24"/>
          <w:lang w:eastAsia="en-CA"/>
        </w:rPr>
        <w:t xml:space="preserve">This was the basis for </w:t>
      </w:r>
      <w:r w:rsidR="00776272">
        <w:rPr>
          <w:rFonts w:eastAsiaTheme="minorEastAsia" w:hAnsi="Calibri"/>
          <w:color w:val="000000" w:themeColor="text1"/>
          <w:kern w:val="24"/>
          <w:szCs w:val="24"/>
          <w:lang w:eastAsia="en-CA"/>
        </w:rPr>
        <w:t>s</w:t>
      </w:r>
      <w:r w:rsidR="006A19A3">
        <w:rPr>
          <w:rFonts w:eastAsiaTheme="minorEastAsia" w:hAnsi="Calibri"/>
          <w:color w:val="000000" w:themeColor="text1"/>
          <w:kern w:val="24"/>
          <w:szCs w:val="24"/>
          <w:lang w:eastAsia="en-CA"/>
        </w:rPr>
        <w:t xml:space="preserve">taff </w:t>
      </w:r>
      <w:r w:rsidR="006A19A3">
        <w:rPr>
          <w:rFonts w:eastAsiaTheme="minorEastAsia" w:hAnsi="Calibri"/>
          <w:color w:val="000000" w:themeColor="text1"/>
          <w:kern w:val="24"/>
          <w:szCs w:val="24"/>
          <w:lang w:eastAsia="en-CA"/>
        </w:rPr>
        <w:lastRenderedPageBreak/>
        <w:t>recommen</w:t>
      </w:r>
      <w:r w:rsidR="00CC7ACF">
        <w:rPr>
          <w:rFonts w:eastAsiaTheme="minorEastAsia" w:hAnsi="Calibri"/>
          <w:color w:val="000000" w:themeColor="text1"/>
          <w:kern w:val="24"/>
          <w:szCs w:val="24"/>
          <w:lang w:eastAsia="en-CA"/>
        </w:rPr>
        <w:t xml:space="preserve">ding </w:t>
      </w:r>
      <w:r w:rsidR="006A19A3">
        <w:rPr>
          <w:rFonts w:eastAsiaTheme="minorEastAsia" w:hAnsi="Calibri"/>
          <w:color w:val="000000" w:themeColor="text1"/>
          <w:kern w:val="24"/>
          <w:szCs w:val="24"/>
          <w:lang w:eastAsia="en-CA"/>
        </w:rPr>
        <w:t xml:space="preserve">the development </w:t>
      </w:r>
      <w:r w:rsidR="00F65328" w:rsidRPr="00D31232">
        <w:rPr>
          <w:rFonts w:eastAsiaTheme="minorEastAsia" w:hAnsi="Calibri"/>
          <w:color w:val="000000" w:themeColor="text1"/>
          <w:kern w:val="24"/>
          <w:szCs w:val="24"/>
          <w:lang w:eastAsia="en-CA"/>
        </w:rPr>
        <w:t xml:space="preserve">of policy </w:t>
      </w:r>
      <w:r w:rsidR="00CC7ACF" w:rsidRPr="00D31232">
        <w:rPr>
          <w:rFonts w:eastAsiaTheme="minorEastAsia" w:hAnsi="Calibri"/>
          <w:color w:val="000000" w:themeColor="text1"/>
          <w:kern w:val="24"/>
          <w:szCs w:val="24"/>
          <w:lang w:eastAsia="en-CA"/>
        </w:rPr>
        <w:t>guidance material</w:t>
      </w:r>
      <w:r w:rsidR="00F65328" w:rsidRPr="00D31232">
        <w:rPr>
          <w:rFonts w:eastAsiaTheme="minorEastAsia" w:hAnsi="Calibri"/>
          <w:color w:val="000000" w:themeColor="text1"/>
          <w:kern w:val="24"/>
          <w:szCs w:val="24"/>
          <w:lang w:eastAsia="en-CA"/>
        </w:rPr>
        <w:t xml:space="preserve"> </w:t>
      </w:r>
      <w:r w:rsidR="006A19A3" w:rsidRPr="00D31232">
        <w:rPr>
          <w:rFonts w:eastAsiaTheme="minorEastAsia" w:hAnsi="Calibri"/>
          <w:color w:val="000000" w:themeColor="text1"/>
          <w:kern w:val="24"/>
          <w:szCs w:val="24"/>
          <w:lang w:eastAsia="en-CA"/>
        </w:rPr>
        <w:t>for OFDU</w:t>
      </w:r>
      <w:r w:rsidR="00CC7ACF" w:rsidRPr="00D31232">
        <w:rPr>
          <w:rFonts w:eastAsiaTheme="minorEastAsia" w:hAnsi="Calibri"/>
          <w:color w:val="000000" w:themeColor="text1"/>
          <w:kern w:val="24"/>
          <w:szCs w:val="24"/>
          <w:lang w:eastAsia="en-CA"/>
        </w:rPr>
        <w:t>s.</w:t>
      </w:r>
      <w:r w:rsidR="00776272" w:rsidRPr="00D31232">
        <w:rPr>
          <w:rFonts w:eastAsiaTheme="minorEastAsia" w:hAnsi="Calibri"/>
          <w:color w:val="000000" w:themeColor="text1"/>
          <w:kern w:val="24"/>
          <w:szCs w:val="24"/>
          <w:lang w:eastAsia="en-CA"/>
        </w:rPr>
        <w:t xml:space="preserve"> </w:t>
      </w:r>
      <w:r w:rsidR="001A336B" w:rsidRPr="001A336B">
        <w:rPr>
          <w:rFonts w:eastAsiaTheme="minorEastAsia" w:hAnsi="Calibri"/>
          <w:color w:val="000000" w:themeColor="text1"/>
          <w:kern w:val="24"/>
          <w:szCs w:val="24"/>
          <w:lang w:eastAsia="en-CA"/>
        </w:rPr>
        <w:t xml:space="preserve">Having additional NEP-specific guidance for these uses would assist staff and the Commission in interpreting the OMAFRA Guidelines, specifically in the context of achieving the Purpose and Objectives of the NEP. </w:t>
      </w:r>
      <w:r w:rsidR="00776272" w:rsidRPr="00D31232">
        <w:rPr>
          <w:rFonts w:eastAsiaTheme="minorEastAsia" w:hAnsi="Calibri"/>
          <w:color w:val="000000" w:themeColor="text1"/>
          <w:kern w:val="24"/>
          <w:szCs w:val="24"/>
          <w:lang w:eastAsia="en-CA"/>
        </w:rPr>
        <w:t xml:space="preserve"> </w:t>
      </w:r>
      <w:r w:rsidR="00AD5A9A">
        <w:rPr>
          <w:rFonts w:eastAsiaTheme="minorEastAsia" w:hAnsi="Calibri"/>
          <w:color w:val="000000" w:themeColor="text1"/>
          <w:kern w:val="24"/>
          <w:szCs w:val="24"/>
          <w:lang w:eastAsia="en-CA"/>
        </w:rPr>
        <w:t>Achieving c</w:t>
      </w:r>
      <w:r w:rsidR="001A336B" w:rsidRPr="001A336B">
        <w:rPr>
          <w:rFonts w:eastAsiaTheme="minorEastAsia" w:hAnsi="Calibri"/>
          <w:color w:val="000000" w:themeColor="text1"/>
          <w:kern w:val="24"/>
          <w:szCs w:val="24"/>
          <w:lang w:eastAsia="en-CA"/>
        </w:rPr>
        <w:t xml:space="preserve">onsistency in interpretation will allow for transparency and fairness in the assessment of </w:t>
      </w:r>
      <w:r w:rsidR="00D31232" w:rsidRPr="00D31232">
        <w:rPr>
          <w:rFonts w:eastAsiaTheme="minorEastAsia" w:hAnsi="Calibri"/>
          <w:color w:val="000000" w:themeColor="text1"/>
          <w:kern w:val="24"/>
          <w:szCs w:val="24"/>
          <w:lang w:eastAsia="en-CA"/>
        </w:rPr>
        <w:t>DPAs</w:t>
      </w:r>
      <w:r w:rsidR="001A336B" w:rsidRPr="001A336B">
        <w:rPr>
          <w:rFonts w:eastAsiaTheme="minorEastAsia" w:hAnsi="Calibri"/>
          <w:color w:val="000000" w:themeColor="text1"/>
          <w:kern w:val="24"/>
          <w:szCs w:val="24"/>
          <w:lang w:eastAsia="en-CA"/>
        </w:rPr>
        <w:t>.</w:t>
      </w:r>
    </w:p>
    <w:p w14:paraId="474B3BB6" w14:textId="2C3E8D29" w:rsidR="00C320F3" w:rsidRDefault="00C320F3" w:rsidP="00D31232">
      <w:pPr>
        <w:spacing w:after="0"/>
        <w:contextualSpacing/>
        <w:rPr>
          <w:rFonts w:eastAsiaTheme="minorEastAsia" w:hAnsi="Calibri"/>
          <w:color w:val="000000" w:themeColor="text1"/>
          <w:kern w:val="24"/>
          <w:szCs w:val="24"/>
          <w:lang w:eastAsia="en-CA"/>
        </w:rPr>
      </w:pPr>
    </w:p>
    <w:p w14:paraId="725A4973" w14:textId="5E9AC538" w:rsidR="00DE3E84" w:rsidRPr="00DE3E84" w:rsidRDefault="00DE3E84" w:rsidP="0086284B">
      <w:pPr>
        <w:spacing w:after="0"/>
        <w:contextualSpacing/>
        <w:rPr>
          <w:rFonts w:eastAsiaTheme="minorEastAsia" w:hAnsi="Calibri"/>
          <w:i/>
          <w:iCs/>
          <w:color w:val="000000" w:themeColor="text1"/>
          <w:kern w:val="24"/>
          <w:szCs w:val="24"/>
          <w:lang w:eastAsia="en-CA"/>
        </w:rPr>
      </w:pPr>
      <w:r w:rsidRPr="00DE3E84">
        <w:rPr>
          <w:rFonts w:eastAsiaTheme="minorEastAsia" w:hAnsi="Calibri"/>
          <w:i/>
          <w:iCs/>
          <w:color w:val="000000" w:themeColor="text1"/>
          <w:kern w:val="24"/>
          <w:szCs w:val="24"/>
          <w:lang w:eastAsia="en-CA"/>
        </w:rPr>
        <w:t>Known Stakeholder Positions</w:t>
      </w:r>
    </w:p>
    <w:p w14:paraId="728CDA32" w14:textId="77777777" w:rsidR="00DE3E84" w:rsidRDefault="00DE3E84" w:rsidP="0086284B">
      <w:pPr>
        <w:spacing w:after="0"/>
        <w:contextualSpacing/>
        <w:rPr>
          <w:rFonts w:eastAsiaTheme="minorEastAsia" w:hAnsi="Calibri"/>
          <w:color w:val="000000" w:themeColor="text1"/>
          <w:kern w:val="24"/>
          <w:szCs w:val="24"/>
          <w:lang w:eastAsia="en-CA"/>
        </w:rPr>
      </w:pPr>
    </w:p>
    <w:p w14:paraId="6FF84D32" w14:textId="165AD519" w:rsidR="00D87B6C" w:rsidRDefault="00D87B6C" w:rsidP="00D87B6C">
      <w:pPr>
        <w:rPr>
          <w:rFonts w:cstheme="minorHAnsi"/>
          <w:lang w:val="en-US"/>
        </w:rPr>
      </w:pPr>
      <w:r w:rsidRPr="00636697">
        <w:rPr>
          <w:rFonts w:cstheme="minorHAnsi"/>
          <w:lang w:val="en-US"/>
        </w:rPr>
        <w:t xml:space="preserve">NEC </w:t>
      </w:r>
      <w:r w:rsidR="00D31232" w:rsidRPr="00636697">
        <w:rPr>
          <w:rFonts w:cstheme="minorHAnsi"/>
          <w:lang w:val="en-US"/>
        </w:rPr>
        <w:t>senior s</w:t>
      </w:r>
      <w:r w:rsidRPr="00636697">
        <w:rPr>
          <w:rFonts w:cstheme="minorHAnsi"/>
          <w:lang w:val="en-US"/>
        </w:rPr>
        <w:t xml:space="preserve">taff met with members of the Ontario Craft Wineries </w:t>
      </w:r>
      <w:r w:rsidR="009D40C4" w:rsidRPr="00636697">
        <w:rPr>
          <w:rFonts w:cstheme="minorHAnsi"/>
          <w:lang w:val="en-US"/>
        </w:rPr>
        <w:t xml:space="preserve">(OCW) </w:t>
      </w:r>
      <w:r w:rsidR="0014571B" w:rsidRPr="00636697">
        <w:rPr>
          <w:rFonts w:cstheme="minorHAnsi"/>
          <w:lang w:val="en-US"/>
        </w:rPr>
        <w:t xml:space="preserve">(formerly the Wine Council of Ontario), </w:t>
      </w:r>
      <w:r w:rsidRPr="00636697">
        <w:rPr>
          <w:rFonts w:cstheme="minorHAnsi"/>
          <w:lang w:val="en-US"/>
        </w:rPr>
        <w:t xml:space="preserve">in August 2021 to discuss opportunities and issues as they relate to the NEP </w:t>
      </w:r>
      <w:r w:rsidR="00636697" w:rsidRPr="00636697">
        <w:rPr>
          <w:rFonts w:cstheme="minorHAnsi"/>
          <w:lang w:val="en-US"/>
        </w:rPr>
        <w:t xml:space="preserve">agricultural policies, namely respecting </w:t>
      </w:r>
      <w:r w:rsidR="009C3B5A">
        <w:rPr>
          <w:rFonts w:cstheme="minorHAnsi"/>
          <w:lang w:val="en-US"/>
        </w:rPr>
        <w:t>w</w:t>
      </w:r>
      <w:r w:rsidRPr="00636697">
        <w:rPr>
          <w:rFonts w:cstheme="minorHAnsi"/>
          <w:lang w:val="en-US"/>
        </w:rPr>
        <w:t xml:space="preserve">ineries, </w:t>
      </w:r>
      <w:r w:rsidR="00485DE3">
        <w:rPr>
          <w:rFonts w:cstheme="minorHAnsi"/>
          <w:lang w:val="en-US"/>
        </w:rPr>
        <w:t>OFDU</w:t>
      </w:r>
      <w:r w:rsidRPr="00636697">
        <w:rPr>
          <w:rFonts w:cstheme="minorHAnsi"/>
          <w:lang w:val="en-US"/>
        </w:rPr>
        <w:t xml:space="preserve">s and </w:t>
      </w:r>
      <w:r w:rsidR="00485DE3">
        <w:rPr>
          <w:rFonts w:cstheme="minorHAnsi"/>
          <w:lang w:val="en-US"/>
        </w:rPr>
        <w:t>ARU</w:t>
      </w:r>
      <w:r w:rsidRPr="00636697">
        <w:rPr>
          <w:rFonts w:cstheme="minorHAnsi"/>
          <w:lang w:val="en-US"/>
        </w:rPr>
        <w:t>s.</w:t>
      </w:r>
    </w:p>
    <w:p w14:paraId="38438C28" w14:textId="24005C50" w:rsidR="002730BB" w:rsidRDefault="00775E7E" w:rsidP="00490C8F">
      <w:pPr>
        <w:spacing w:after="0"/>
        <w:contextualSpacing/>
        <w:rPr>
          <w:lang w:val="en-US"/>
        </w:rPr>
      </w:pPr>
      <w:r>
        <w:rPr>
          <w:lang w:val="en-US"/>
        </w:rPr>
        <w:t>While the OCW</w:t>
      </w:r>
      <w:r w:rsidR="005432AD">
        <w:rPr>
          <w:lang w:val="en-US"/>
        </w:rPr>
        <w:t xml:space="preserve"> has expressed</w:t>
      </w:r>
      <w:r w:rsidR="00D31232">
        <w:rPr>
          <w:lang w:val="en-US"/>
        </w:rPr>
        <w:t xml:space="preserve"> some degree of</w:t>
      </w:r>
      <w:r w:rsidR="005432AD">
        <w:rPr>
          <w:lang w:val="en-US"/>
        </w:rPr>
        <w:t xml:space="preserve"> satisfaction </w:t>
      </w:r>
      <w:r w:rsidR="0060014B">
        <w:rPr>
          <w:lang w:val="en-US"/>
        </w:rPr>
        <w:t xml:space="preserve">that the Coordinated </w:t>
      </w:r>
      <w:r w:rsidR="00485DE3">
        <w:rPr>
          <w:lang w:val="en-US"/>
        </w:rPr>
        <w:t xml:space="preserve">Land Use </w:t>
      </w:r>
      <w:r w:rsidR="0060014B">
        <w:rPr>
          <w:lang w:val="en-US"/>
        </w:rPr>
        <w:t>Plan</w:t>
      </w:r>
      <w:r w:rsidR="00485DE3">
        <w:rPr>
          <w:lang w:val="en-US"/>
        </w:rPr>
        <w:t>ning</w:t>
      </w:r>
      <w:r w:rsidR="0060014B">
        <w:rPr>
          <w:lang w:val="en-US"/>
        </w:rPr>
        <w:t xml:space="preserve"> Review resulted in a more </w:t>
      </w:r>
      <w:r w:rsidR="00D80FC3">
        <w:rPr>
          <w:lang w:val="en-US"/>
        </w:rPr>
        <w:t>o</w:t>
      </w:r>
      <w:r w:rsidR="0060014B">
        <w:rPr>
          <w:lang w:val="en-US"/>
        </w:rPr>
        <w:t xml:space="preserve">bjectives-based approach to wineries (e.g., </w:t>
      </w:r>
      <w:r w:rsidR="00E927F1">
        <w:rPr>
          <w:lang w:val="en-US"/>
        </w:rPr>
        <w:t xml:space="preserve">inclusion of </w:t>
      </w:r>
      <w:r w:rsidR="00485DE3">
        <w:rPr>
          <w:lang w:val="en-US"/>
        </w:rPr>
        <w:t>OFDUs</w:t>
      </w:r>
      <w:r w:rsidR="00E927F1">
        <w:rPr>
          <w:lang w:val="en-US"/>
        </w:rPr>
        <w:t xml:space="preserve"> and value-added uses to more broadly reflect the </w:t>
      </w:r>
      <w:r w:rsidR="005B5988">
        <w:rPr>
          <w:lang w:val="en-US"/>
        </w:rPr>
        <w:t>reality</w:t>
      </w:r>
      <w:r w:rsidR="00E927F1">
        <w:rPr>
          <w:lang w:val="en-US"/>
        </w:rPr>
        <w:t xml:space="preserve"> of this agricultural sector</w:t>
      </w:r>
      <w:r w:rsidR="00D80FC3">
        <w:rPr>
          <w:lang w:val="en-US"/>
        </w:rPr>
        <w:t>)</w:t>
      </w:r>
      <w:r w:rsidR="00E927F1">
        <w:rPr>
          <w:lang w:val="en-US"/>
        </w:rPr>
        <w:t xml:space="preserve">, </w:t>
      </w:r>
      <w:r w:rsidR="00D03152">
        <w:rPr>
          <w:lang w:val="en-US"/>
        </w:rPr>
        <w:t>the OCW maintains concern that</w:t>
      </w:r>
      <w:r w:rsidR="002730BB">
        <w:rPr>
          <w:lang w:val="en-US"/>
        </w:rPr>
        <w:t xml:space="preserve"> w</w:t>
      </w:r>
      <w:r w:rsidR="002730BB" w:rsidRPr="002730BB">
        <w:rPr>
          <w:lang w:val="en-US"/>
        </w:rPr>
        <w:t>ineries</w:t>
      </w:r>
      <w:r w:rsidR="0016215D">
        <w:rPr>
          <w:lang w:val="en-US"/>
        </w:rPr>
        <w:t xml:space="preserve"> </w:t>
      </w:r>
      <w:r w:rsidR="002730BB">
        <w:rPr>
          <w:lang w:val="en-US"/>
        </w:rPr>
        <w:t>in the NEP Area</w:t>
      </w:r>
      <w:r w:rsidR="0016215D">
        <w:rPr>
          <w:lang w:val="en-US"/>
        </w:rPr>
        <w:t xml:space="preserve"> in particular</w:t>
      </w:r>
      <w:r w:rsidR="00D80FC3">
        <w:rPr>
          <w:lang w:val="en-US"/>
        </w:rPr>
        <w:t>,</w:t>
      </w:r>
      <w:r w:rsidR="002730BB">
        <w:rPr>
          <w:lang w:val="en-US"/>
        </w:rPr>
        <w:t xml:space="preserve"> </w:t>
      </w:r>
      <w:r w:rsidR="002730BB" w:rsidRPr="002730BB">
        <w:rPr>
          <w:lang w:val="en-US"/>
        </w:rPr>
        <w:t>continue to be viewed through a restrictive lens</w:t>
      </w:r>
      <w:r w:rsidR="00485DE3">
        <w:rPr>
          <w:lang w:val="en-US"/>
        </w:rPr>
        <w:t>, rather than as part of the Escarpment visitor experience that promotes and supports the UNESCO World Biosphere Reserve and NEP objectives.</w:t>
      </w:r>
      <w:r w:rsidR="002730BB" w:rsidRPr="002730BB">
        <w:rPr>
          <w:lang w:val="en-US"/>
        </w:rPr>
        <w:t xml:space="preserve"> </w:t>
      </w:r>
    </w:p>
    <w:p w14:paraId="0C88D9E0" w14:textId="791B2251" w:rsidR="000B2551" w:rsidRDefault="000B2551" w:rsidP="00490C8F">
      <w:pPr>
        <w:spacing w:after="0"/>
        <w:contextualSpacing/>
        <w:rPr>
          <w:lang w:val="en-US"/>
        </w:rPr>
      </w:pPr>
    </w:p>
    <w:p w14:paraId="26EC88C2" w14:textId="5EED2FF5" w:rsidR="000B2551" w:rsidRDefault="002D1148" w:rsidP="000B2551">
      <w:pPr>
        <w:spacing w:after="0"/>
        <w:contextualSpacing/>
        <w:rPr>
          <w:lang w:val="en-US"/>
        </w:rPr>
      </w:pPr>
      <w:r>
        <w:rPr>
          <w:lang w:val="en-US"/>
        </w:rPr>
        <w:t xml:space="preserve">While the </w:t>
      </w:r>
      <w:r w:rsidR="000B2551">
        <w:rPr>
          <w:lang w:val="en-US"/>
        </w:rPr>
        <w:t xml:space="preserve">OCW </w:t>
      </w:r>
      <w:r w:rsidR="009764B2">
        <w:rPr>
          <w:lang w:val="en-US"/>
        </w:rPr>
        <w:t>is pleased</w:t>
      </w:r>
      <w:r w:rsidR="000B2551">
        <w:rPr>
          <w:lang w:val="en-US"/>
        </w:rPr>
        <w:t xml:space="preserve"> with the Commission</w:t>
      </w:r>
      <w:r w:rsidR="00A32E3A">
        <w:rPr>
          <w:lang w:val="en-US"/>
        </w:rPr>
        <w:t>’s</w:t>
      </w:r>
      <w:r w:rsidR="000B2551">
        <w:rPr>
          <w:lang w:val="en-US"/>
        </w:rPr>
        <w:t xml:space="preserve"> endorsement to proceed with</w:t>
      </w:r>
      <w:r w:rsidR="007C5622">
        <w:rPr>
          <w:lang w:val="en-US"/>
        </w:rPr>
        <w:t xml:space="preserve"> the development of </w:t>
      </w:r>
      <w:r w:rsidR="00485DE3">
        <w:rPr>
          <w:lang w:val="en-US"/>
        </w:rPr>
        <w:t>p</w:t>
      </w:r>
      <w:r w:rsidR="000B2551">
        <w:rPr>
          <w:lang w:val="en-US"/>
        </w:rPr>
        <w:t xml:space="preserve">olicy </w:t>
      </w:r>
      <w:r w:rsidR="00485DE3">
        <w:rPr>
          <w:lang w:val="en-US"/>
        </w:rPr>
        <w:t>g</w:t>
      </w:r>
      <w:r w:rsidR="000B2551">
        <w:rPr>
          <w:lang w:val="en-US"/>
        </w:rPr>
        <w:t xml:space="preserve">uidance materials to support some of the identified interpretation and implementation challenges </w:t>
      </w:r>
      <w:r w:rsidR="003750F4">
        <w:rPr>
          <w:lang w:val="en-US"/>
        </w:rPr>
        <w:t>associated with the agricultural</w:t>
      </w:r>
      <w:r w:rsidR="000B2551">
        <w:rPr>
          <w:lang w:val="en-US"/>
        </w:rPr>
        <w:t xml:space="preserve"> </w:t>
      </w:r>
      <w:r w:rsidR="003750F4">
        <w:rPr>
          <w:lang w:val="en-US"/>
        </w:rPr>
        <w:t>policies</w:t>
      </w:r>
      <w:r w:rsidR="00A32E3A">
        <w:rPr>
          <w:lang w:val="en-US"/>
        </w:rPr>
        <w:t xml:space="preserve">, </w:t>
      </w:r>
      <w:r w:rsidR="007C5622">
        <w:rPr>
          <w:lang w:val="en-US"/>
        </w:rPr>
        <w:t xml:space="preserve">it is unclear </w:t>
      </w:r>
      <w:r w:rsidR="00A32E3A">
        <w:rPr>
          <w:lang w:val="en-US"/>
        </w:rPr>
        <w:t xml:space="preserve">at this time </w:t>
      </w:r>
      <w:r w:rsidR="000750F7">
        <w:rPr>
          <w:lang w:val="en-US"/>
        </w:rPr>
        <w:t xml:space="preserve">if </w:t>
      </w:r>
      <w:r w:rsidR="00485DE3">
        <w:rPr>
          <w:lang w:val="en-US"/>
        </w:rPr>
        <w:t>g</w:t>
      </w:r>
      <w:r w:rsidR="007C5622">
        <w:rPr>
          <w:lang w:val="en-US"/>
        </w:rPr>
        <w:t xml:space="preserve">uidelines will </w:t>
      </w:r>
      <w:r w:rsidR="00A32E3A">
        <w:rPr>
          <w:lang w:val="en-US"/>
        </w:rPr>
        <w:t xml:space="preserve">be able to </w:t>
      </w:r>
      <w:r w:rsidR="007C5622">
        <w:rPr>
          <w:lang w:val="en-US"/>
        </w:rPr>
        <w:t xml:space="preserve">address the full scope of </w:t>
      </w:r>
      <w:r w:rsidR="000750F7">
        <w:rPr>
          <w:lang w:val="en-US"/>
        </w:rPr>
        <w:t xml:space="preserve">issues and </w:t>
      </w:r>
      <w:r w:rsidR="007C5622">
        <w:rPr>
          <w:lang w:val="en-US"/>
        </w:rPr>
        <w:t>concerns</w:t>
      </w:r>
      <w:r w:rsidR="00751F50">
        <w:rPr>
          <w:lang w:val="en-US"/>
        </w:rPr>
        <w:t xml:space="preserve">. </w:t>
      </w:r>
    </w:p>
    <w:p w14:paraId="1308BCEB" w14:textId="1997B812" w:rsidR="000750F7" w:rsidRDefault="000750F7" w:rsidP="000750F7">
      <w:pPr>
        <w:spacing w:after="0"/>
        <w:rPr>
          <w:szCs w:val="24"/>
        </w:rPr>
      </w:pPr>
    </w:p>
    <w:p w14:paraId="21D17FCD" w14:textId="50FBA16D" w:rsidR="00EA2AD9" w:rsidRDefault="00FE6508" w:rsidP="000750F7">
      <w:pPr>
        <w:spacing w:after="0"/>
      </w:pPr>
      <w:r>
        <w:rPr>
          <w:szCs w:val="24"/>
        </w:rPr>
        <w:t xml:space="preserve">NEC staff is also aware of </w:t>
      </w:r>
      <w:r w:rsidR="00AD774C">
        <w:rPr>
          <w:szCs w:val="24"/>
        </w:rPr>
        <w:t xml:space="preserve">similar concerns by </w:t>
      </w:r>
      <w:r w:rsidR="00DE3E84">
        <w:rPr>
          <w:szCs w:val="24"/>
        </w:rPr>
        <w:t>the Ontario Federation of Agriculture</w:t>
      </w:r>
      <w:r w:rsidR="00455B10">
        <w:rPr>
          <w:szCs w:val="24"/>
        </w:rPr>
        <w:t xml:space="preserve"> </w:t>
      </w:r>
      <w:r w:rsidR="00DE3E84">
        <w:rPr>
          <w:szCs w:val="24"/>
        </w:rPr>
        <w:t>(OF</w:t>
      </w:r>
      <w:r w:rsidR="000C7081">
        <w:rPr>
          <w:szCs w:val="24"/>
        </w:rPr>
        <w:t>A</w:t>
      </w:r>
      <w:r w:rsidR="00DE3E84">
        <w:rPr>
          <w:szCs w:val="24"/>
        </w:rPr>
        <w:t>)</w:t>
      </w:r>
      <w:r w:rsidR="00EA2AD9">
        <w:rPr>
          <w:szCs w:val="24"/>
        </w:rPr>
        <w:t>. In a letter to the (former) Minister of Natural Resources</w:t>
      </w:r>
      <w:r w:rsidR="00485DE3">
        <w:rPr>
          <w:szCs w:val="24"/>
        </w:rPr>
        <w:t xml:space="preserve"> and Forestry</w:t>
      </w:r>
      <w:r w:rsidR="00E94012">
        <w:rPr>
          <w:szCs w:val="24"/>
        </w:rPr>
        <w:t xml:space="preserve"> in March 2019</w:t>
      </w:r>
      <w:r w:rsidR="000C7081">
        <w:rPr>
          <w:szCs w:val="24"/>
        </w:rPr>
        <w:t xml:space="preserve">, the OFA indicated support for Niagara Region’s proposal to initiate a </w:t>
      </w:r>
      <w:r w:rsidR="00B13FFF">
        <w:rPr>
          <w:szCs w:val="24"/>
        </w:rPr>
        <w:t>NEP</w:t>
      </w:r>
      <w:r w:rsidR="000C7081">
        <w:rPr>
          <w:szCs w:val="24"/>
        </w:rPr>
        <w:t xml:space="preserve"> </w:t>
      </w:r>
      <w:r w:rsidR="00485DE3">
        <w:rPr>
          <w:szCs w:val="24"/>
        </w:rPr>
        <w:t>a</w:t>
      </w:r>
      <w:r w:rsidR="000C7081">
        <w:rPr>
          <w:szCs w:val="24"/>
        </w:rPr>
        <w:t xml:space="preserve">mendment </w:t>
      </w:r>
      <w:r w:rsidR="00B13FFF">
        <w:rPr>
          <w:szCs w:val="24"/>
        </w:rPr>
        <w:t xml:space="preserve">to remove all winery-specific policies. </w:t>
      </w:r>
      <w:r w:rsidR="00781315">
        <w:rPr>
          <w:szCs w:val="24"/>
        </w:rPr>
        <w:t>The OFA has noted that w</w:t>
      </w:r>
      <w:r w:rsidR="00781315">
        <w:t xml:space="preserve">hile the other provincial planning documents appear to recognize wineries as an equal use to other </w:t>
      </w:r>
      <w:r w:rsidR="00485DE3">
        <w:t>ARUs</w:t>
      </w:r>
      <w:r w:rsidR="00781315">
        <w:t xml:space="preserve"> and/or </w:t>
      </w:r>
      <w:r w:rsidR="00485DE3">
        <w:t>OFDUs</w:t>
      </w:r>
      <w:r w:rsidR="00781315">
        <w:t>, the NEP continues to place wineries under a different policy framework.</w:t>
      </w:r>
    </w:p>
    <w:p w14:paraId="41584BF4" w14:textId="7366B910" w:rsidR="00781315" w:rsidRDefault="00781315" w:rsidP="000750F7">
      <w:pPr>
        <w:spacing w:after="0"/>
      </w:pPr>
    </w:p>
    <w:p w14:paraId="709C2CC7" w14:textId="77777777" w:rsidR="00321A3E" w:rsidRDefault="00781315" w:rsidP="000750F7">
      <w:pPr>
        <w:spacing w:after="0"/>
      </w:pPr>
      <w:r>
        <w:t xml:space="preserve">The “different policy framework” </w:t>
      </w:r>
      <w:r w:rsidR="00D01FB0">
        <w:t xml:space="preserve">with respect to wineries, </w:t>
      </w:r>
      <w:r>
        <w:t>being referred to by the agricultural stakeholders</w:t>
      </w:r>
      <w:r w:rsidR="00FC32D7">
        <w:t xml:space="preserve"> are the three remaining policies in Part 2.</w:t>
      </w:r>
      <w:r w:rsidR="00B20010">
        <w:t>8 (</w:t>
      </w:r>
      <w:r w:rsidR="00E77DFD">
        <w:t>Agriculture) “</w:t>
      </w:r>
      <w:r w:rsidR="00FC32D7">
        <w:t>Wineries”</w:t>
      </w:r>
      <w:r w:rsidR="00B20010">
        <w:t xml:space="preserve"> policies</w:t>
      </w:r>
      <w:r w:rsidR="00321A3E">
        <w:t>:</w:t>
      </w:r>
    </w:p>
    <w:p w14:paraId="5FF78FAD" w14:textId="6C6E1F73" w:rsidR="00321A3E" w:rsidRDefault="00321A3E" w:rsidP="000750F7">
      <w:pPr>
        <w:spacing w:after="0"/>
      </w:pPr>
    </w:p>
    <w:p w14:paraId="73660E4F" w14:textId="77777777" w:rsidR="00321A3E" w:rsidRDefault="00321A3E" w:rsidP="00321A3E">
      <w:pPr>
        <w:pStyle w:val="Default"/>
        <w:rPr>
          <w:rFonts w:asciiTheme="minorHAnsi" w:hAnsiTheme="minorHAnsi" w:cstheme="minorHAnsi"/>
          <w:b/>
          <w:bCs/>
        </w:rPr>
      </w:pPr>
      <w:r w:rsidRPr="00CA4342">
        <w:rPr>
          <w:rFonts w:asciiTheme="minorHAnsi" w:hAnsiTheme="minorHAnsi" w:cstheme="minorHAnsi"/>
          <w:b/>
          <w:bCs/>
        </w:rPr>
        <w:t xml:space="preserve">Wineries: </w:t>
      </w:r>
    </w:p>
    <w:p w14:paraId="2D3FF1EC" w14:textId="77777777" w:rsidR="00321A3E" w:rsidRPr="00CA4342" w:rsidRDefault="00321A3E" w:rsidP="00321A3E">
      <w:pPr>
        <w:pStyle w:val="Default"/>
        <w:rPr>
          <w:rFonts w:asciiTheme="minorHAnsi" w:hAnsiTheme="minorHAnsi" w:cstheme="minorHAnsi"/>
        </w:rPr>
      </w:pPr>
    </w:p>
    <w:p w14:paraId="0930C314" w14:textId="0686014B" w:rsidR="00321A3E" w:rsidRDefault="00321A3E" w:rsidP="00321A3E">
      <w:pPr>
        <w:pStyle w:val="Default"/>
        <w:spacing w:line="276" w:lineRule="auto"/>
        <w:rPr>
          <w:rFonts w:asciiTheme="minorHAnsi" w:hAnsiTheme="minorHAnsi" w:cstheme="minorHAnsi"/>
        </w:rPr>
      </w:pPr>
      <w:r w:rsidRPr="00CA4342">
        <w:rPr>
          <w:rFonts w:asciiTheme="minorHAnsi" w:hAnsiTheme="minorHAnsi" w:cstheme="minorHAnsi"/>
        </w:rPr>
        <w:t xml:space="preserve">8. Wineries may be permitted as agriculture-related uses or on-farm diversified uses. </w:t>
      </w:r>
    </w:p>
    <w:p w14:paraId="5DEC4960" w14:textId="77777777" w:rsidR="001D5494" w:rsidRPr="00CA4342" w:rsidRDefault="001D5494" w:rsidP="00321A3E">
      <w:pPr>
        <w:pStyle w:val="Default"/>
        <w:spacing w:line="276" w:lineRule="auto"/>
        <w:rPr>
          <w:rFonts w:asciiTheme="minorHAnsi" w:hAnsiTheme="minorHAnsi" w:cstheme="minorHAnsi"/>
        </w:rPr>
      </w:pPr>
    </w:p>
    <w:p w14:paraId="2EB88FA9" w14:textId="77777777" w:rsidR="00321A3E" w:rsidRDefault="00321A3E" w:rsidP="00321A3E">
      <w:pPr>
        <w:pStyle w:val="Default"/>
        <w:spacing w:line="276" w:lineRule="auto"/>
        <w:ind w:left="284" w:hanging="284"/>
        <w:rPr>
          <w:rFonts w:asciiTheme="minorHAnsi" w:hAnsiTheme="minorHAnsi" w:cstheme="minorHAnsi"/>
        </w:rPr>
      </w:pPr>
      <w:r w:rsidRPr="00CA4342">
        <w:rPr>
          <w:rFonts w:asciiTheme="minorHAnsi" w:hAnsiTheme="minorHAnsi" w:cstheme="minorHAnsi"/>
        </w:rPr>
        <w:lastRenderedPageBreak/>
        <w:t xml:space="preserve">9. </w:t>
      </w:r>
      <w:bookmarkStart w:id="0" w:name="_Hlk87197522"/>
      <w:r w:rsidRPr="00CA4342">
        <w:rPr>
          <w:rFonts w:asciiTheme="minorHAnsi" w:hAnsiTheme="minorHAnsi" w:cstheme="minorHAnsi"/>
        </w:rPr>
        <w:t xml:space="preserve">A single, </w:t>
      </w:r>
      <w:r w:rsidRPr="00977597">
        <w:rPr>
          <w:rFonts w:asciiTheme="minorHAnsi" w:hAnsiTheme="minorHAnsi" w:cstheme="minorHAnsi"/>
        </w:rPr>
        <w:t>accessory facility</w:t>
      </w:r>
      <w:r w:rsidRPr="00CA4342">
        <w:rPr>
          <w:rFonts w:asciiTheme="minorHAnsi" w:hAnsiTheme="minorHAnsi" w:cstheme="minorHAnsi"/>
        </w:rPr>
        <w:t xml:space="preserve"> to sell wine with limited food service may be permitted at a winery, provided the following criteria are met: </w:t>
      </w:r>
    </w:p>
    <w:p w14:paraId="796C257A" w14:textId="77777777" w:rsidR="00321A3E" w:rsidRPr="00CA4342" w:rsidRDefault="00321A3E" w:rsidP="00321A3E">
      <w:pPr>
        <w:pStyle w:val="Default"/>
        <w:spacing w:line="276" w:lineRule="auto"/>
        <w:ind w:left="426" w:hanging="426"/>
        <w:rPr>
          <w:rFonts w:asciiTheme="minorHAnsi" w:hAnsiTheme="minorHAnsi" w:cstheme="minorHAnsi"/>
        </w:rPr>
      </w:pPr>
    </w:p>
    <w:p w14:paraId="44E6A66A" w14:textId="77777777" w:rsidR="00321A3E" w:rsidRPr="00CA4342" w:rsidRDefault="00321A3E" w:rsidP="00321A3E">
      <w:pPr>
        <w:pStyle w:val="Default"/>
        <w:spacing w:line="276" w:lineRule="auto"/>
        <w:ind w:left="567" w:hanging="283"/>
        <w:rPr>
          <w:rFonts w:asciiTheme="minorHAnsi" w:hAnsiTheme="minorHAnsi" w:cstheme="minorHAnsi"/>
        </w:rPr>
      </w:pPr>
      <w:r w:rsidRPr="00CA4342">
        <w:rPr>
          <w:rFonts w:asciiTheme="minorHAnsi" w:hAnsiTheme="minorHAnsi" w:cstheme="minorHAnsi"/>
        </w:rPr>
        <w:t xml:space="preserve">a) the accessory facility is located within the winery building and/ or decks/patios attached to the winery building(s) or utilizes an existing building or structure; and </w:t>
      </w:r>
    </w:p>
    <w:p w14:paraId="5F8B1C54" w14:textId="77777777" w:rsidR="00321A3E" w:rsidRPr="00CA4342" w:rsidRDefault="00321A3E" w:rsidP="00321A3E">
      <w:pPr>
        <w:pStyle w:val="Default"/>
        <w:spacing w:line="276" w:lineRule="auto"/>
        <w:ind w:left="567" w:hanging="283"/>
        <w:rPr>
          <w:rFonts w:asciiTheme="minorHAnsi" w:hAnsiTheme="minorHAnsi" w:cstheme="minorHAnsi"/>
        </w:rPr>
      </w:pPr>
      <w:r w:rsidRPr="00CA4342">
        <w:rPr>
          <w:rFonts w:asciiTheme="minorHAnsi" w:hAnsiTheme="minorHAnsi" w:cstheme="minorHAnsi"/>
        </w:rPr>
        <w:t xml:space="preserve">b) no new or expansions to parking facilities or vehicle access infrastructure will be permitted unless justified to the satisfaction of the implementing authority. </w:t>
      </w:r>
    </w:p>
    <w:p w14:paraId="76CAAAF6" w14:textId="77777777" w:rsidR="00321A3E" w:rsidRDefault="00321A3E" w:rsidP="00321A3E">
      <w:pPr>
        <w:pStyle w:val="Default"/>
        <w:spacing w:line="276" w:lineRule="auto"/>
        <w:rPr>
          <w:rFonts w:asciiTheme="minorHAnsi" w:hAnsiTheme="minorHAnsi" w:cstheme="minorHAnsi"/>
        </w:rPr>
      </w:pPr>
    </w:p>
    <w:p w14:paraId="580DA783" w14:textId="77777777" w:rsidR="00321A3E" w:rsidRDefault="00321A3E" w:rsidP="00321A3E">
      <w:pPr>
        <w:pStyle w:val="Default"/>
        <w:spacing w:line="276" w:lineRule="auto"/>
        <w:rPr>
          <w:rFonts w:asciiTheme="minorHAnsi" w:hAnsiTheme="minorHAnsi" w:cstheme="minorHAnsi"/>
        </w:rPr>
      </w:pPr>
      <w:r w:rsidRPr="00CA4342">
        <w:rPr>
          <w:rFonts w:asciiTheme="minorHAnsi" w:hAnsiTheme="minorHAnsi" w:cstheme="minorHAnsi"/>
        </w:rPr>
        <w:t xml:space="preserve">10. Uses that may be permitted as accessory to a winery include: </w:t>
      </w:r>
    </w:p>
    <w:p w14:paraId="1EE02814" w14:textId="77777777" w:rsidR="00321A3E" w:rsidRPr="00CA4342" w:rsidRDefault="00321A3E" w:rsidP="00321A3E">
      <w:pPr>
        <w:pStyle w:val="Default"/>
        <w:spacing w:line="276" w:lineRule="auto"/>
        <w:ind w:firstLine="284"/>
        <w:rPr>
          <w:rFonts w:asciiTheme="minorHAnsi" w:hAnsiTheme="minorHAnsi" w:cstheme="minorHAnsi"/>
        </w:rPr>
      </w:pPr>
      <w:r w:rsidRPr="00CA4342">
        <w:rPr>
          <w:rFonts w:asciiTheme="minorHAnsi" w:hAnsiTheme="minorHAnsi" w:cstheme="minorHAnsi"/>
        </w:rPr>
        <w:t xml:space="preserve">a) a </w:t>
      </w:r>
      <w:proofErr w:type="gramStart"/>
      <w:r w:rsidRPr="00CA4342">
        <w:rPr>
          <w:rFonts w:asciiTheme="minorHAnsi" w:hAnsiTheme="minorHAnsi" w:cstheme="minorHAnsi"/>
        </w:rPr>
        <w:t>retail sale</w:t>
      </w:r>
      <w:r>
        <w:rPr>
          <w:rFonts w:asciiTheme="minorHAnsi" w:hAnsiTheme="minorHAnsi" w:cstheme="minorHAnsi"/>
        </w:rPr>
        <w:t>s</w:t>
      </w:r>
      <w:proofErr w:type="gramEnd"/>
      <w:r w:rsidRPr="00CA4342">
        <w:rPr>
          <w:rFonts w:asciiTheme="minorHAnsi" w:hAnsiTheme="minorHAnsi" w:cstheme="minorHAnsi"/>
        </w:rPr>
        <w:t xml:space="preserve"> and tasting area within the winery building; and </w:t>
      </w:r>
    </w:p>
    <w:p w14:paraId="186E58CA" w14:textId="2CA6AB64" w:rsidR="00321A3E" w:rsidRDefault="00321A3E" w:rsidP="00321A3E">
      <w:pPr>
        <w:spacing w:after="0"/>
        <w:ind w:left="567" w:hanging="283"/>
        <w:rPr>
          <w:rFonts w:cstheme="minorHAnsi"/>
          <w:szCs w:val="24"/>
        </w:rPr>
      </w:pPr>
      <w:r w:rsidRPr="00CA4342">
        <w:rPr>
          <w:rFonts w:cstheme="minorHAnsi"/>
          <w:szCs w:val="24"/>
        </w:rPr>
        <w:t>b) the sale of gift and promotional products within the retail sales and tasting area related to the wine and grape industry, or other local agricultural products</w:t>
      </w:r>
      <w:bookmarkEnd w:id="0"/>
      <w:r w:rsidRPr="00CA4342">
        <w:rPr>
          <w:rFonts w:cstheme="minorHAnsi"/>
          <w:szCs w:val="24"/>
        </w:rPr>
        <w:t>.</w:t>
      </w:r>
    </w:p>
    <w:p w14:paraId="1109F1F3" w14:textId="77777777" w:rsidR="006716D9" w:rsidRDefault="006716D9" w:rsidP="00321A3E">
      <w:pPr>
        <w:spacing w:after="0"/>
        <w:ind w:left="567" w:hanging="283"/>
        <w:rPr>
          <w:rFonts w:cstheme="minorHAnsi"/>
          <w:szCs w:val="24"/>
        </w:rPr>
      </w:pPr>
    </w:p>
    <w:p w14:paraId="46D68A75" w14:textId="1DD4E905" w:rsidR="00781315" w:rsidRDefault="00B20010" w:rsidP="000750F7">
      <w:pPr>
        <w:spacing w:after="0"/>
      </w:pPr>
      <w:r>
        <w:t>The Coordinated</w:t>
      </w:r>
      <w:r w:rsidR="00485DE3">
        <w:t xml:space="preserve"> Land Use</w:t>
      </w:r>
      <w:r>
        <w:t xml:space="preserve"> Plan</w:t>
      </w:r>
      <w:r w:rsidR="00485DE3">
        <w:t>ning</w:t>
      </w:r>
      <w:r>
        <w:t xml:space="preserve"> Review resulted in significant </w:t>
      </w:r>
      <w:r w:rsidR="00795F54">
        <w:t>streamlining of the previous winery policies.</w:t>
      </w:r>
      <w:r w:rsidR="00FC4BF3">
        <w:t xml:space="preserve"> Given that wineries may be considered as an </w:t>
      </w:r>
      <w:bookmarkStart w:id="1" w:name="_Hlk87009322"/>
      <w:r w:rsidR="00FC4BF3">
        <w:t>OFDU</w:t>
      </w:r>
      <w:bookmarkEnd w:id="1"/>
      <w:r w:rsidR="00FC4BF3">
        <w:t xml:space="preserve"> or an ARU, the new policies respecting these uses replac</w:t>
      </w:r>
      <w:r w:rsidR="00DB7398">
        <w:t xml:space="preserve">ed </w:t>
      </w:r>
      <w:r w:rsidR="00FC4BF3">
        <w:t xml:space="preserve">previous winery-specific policies (see Table 2 attached). </w:t>
      </w:r>
      <w:r w:rsidR="0073064A">
        <w:t xml:space="preserve"> I</w:t>
      </w:r>
      <w:r w:rsidR="00FC32D7">
        <w:t xml:space="preserve">n staff’s view, </w:t>
      </w:r>
      <w:r w:rsidR="00FD0ABA">
        <w:t>the limited</w:t>
      </w:r>
      <w:r w:rsidR="0073064A">
        <w:t xml:space="preserve"> winery-specific policies that remain, </w:t>
      </w:r>
      <w:r w:rsidR="00FC32D7">
        <w:t>two of these policies are simply providing additional clarit</w:t>
      </w:r>
      <w:r w:rsidR="00E075CD">
        <w:t xml:space="preserve">y </w:t>
      </w:r>
      <w:r w:rsidR="00F425C8">
        <w:t xml:space="preserve">to what is contained in the </w:t>
      </w:r>
      <w:r w:rsidR="00E075CD">
        <w:t xml:space="preserve">NEP definitions </w:t>
      </w:r>
      <w:r w:rsidR="00F425C8">
        <w:t xml:space="preserve">for </w:t>
      </w:r>
      <w:r w:rsidR="001C099A" w:rsidRPr="001C099A">
        <w:t>OFDU</w:t>
      </w:r>
      <w:r w:rsidR="001C099A" w:rsidRPr="001C099A" w:rsidDel="001C099A">
        <w:t xml:space="preserve"> </w:t>
      </w:r>
      <w:r w:rsidR="00F425C8">
        <w:t xml:space="preserve">s and </w:t>
      </w:r>
      <w:r w:rsidR="001C099A">
        <w:t>ARU</w:t>
      </w:r>
      <w:r w:rsidR="001C099A" w:rsidDel="001C099A">
        <w:t xml:space="preserve"> </w:t>
      </w:r>
      <w:r w:rsidR="00F425C8">
        <w:t xml:space="preserve">s </w:t>
      </w:r>
      <w:r w:rsidR="00E075CD">
        <w:t>(Part 2.</w:t>
      </w:r>
      <w:r>
        <w:t>8</w:t>
      </w:r>
      <w:r w:rsidR="00E075CD">
        <w:t>.8)</w:t>
      </w:r>
      <w:r w:rsidR="00F425C8">
        <w:t>,</w:t>
      </w:r>
      <w:r w:rsidR="00E075CD">
        <w:t xml:space="preserve"> and/or are </w:t>
      </w:r>
      <w:r w:rsidR="00686D3A">
        <w:t xml:space="preserve">providing greater clarify </w:t>
      </w:r>
      <w:r w:rsidR="00DB0A90">
        <w:t>on</w:t>
      </w:r>
      <w:r w:rsidR="00C67F32">
        <w:t xml:space="preserve"> uses that may be permitted as accessory to a winery </w:t>
      </w:r>
      <w:r w:rsidR="00DB0A90">
        <w:t>(Part 2.8.10</w:t>
      </w:r>
      <w:r w:rsidR="001F5DEA">
        <w:t xml:space="preserve">). </w:t>
      </w:r>
    </w:p>
    <w:p w14:paraId="2D154226" w14:textId="6081FD02" w:rsidR="00DE0D7E" w:rsidRPr="00C15C27" w:rsidRDefault="00DE0D7E" w:rsidP="000750F7">
      <w:pPr>
        <w:spacing w:after="0"/>
        <w:rPr>
          <w:szCs w:val="24"/>
        </w:rPr>
      </w:pPr>
    </w:p>
    <w:p w14:paraId="0CB50071" w14:textId="1E9EE52A" w:rsidR="001F5DEA" w:rsidRDefault="00B26CDF" w:rsidP="001F5DEA">
      <w:pPr>
        <w:spacing w:after="0"/>
        <w:rPr>
          <w:rFonts w:ascii="Arial" w:eastAsia="Times New Roman" w:hAnsi="Arial" w:cs="Arial"/>
          <w:szCs w:val="24"/>
        </w:rPr>
      </w:pPr>
      <w:r>
        <w:rPr>
          <w:szCs w:val="24"/>
        </w:rPr>
        <w:t xml:space="preserve">It is notable that of </w:t>
      </w:r>
      <w:r w:rsidRPr="006900DF">
        <w:rPr>
          <w:szCs w:val="24"/>
        </w:rPr>
        <w:t xml:space="preserve">the </w:t>
      </w:r>
      <w:r w:rsidR="00321A3E">
        <w:rPr>
          <w:szCs w:val="24"/>
        </w:rPr>
        <w:t>six</w:t>
      </w:r>
      <w:r w:rsidR="00321A3E" w:rsidRPr="006900DF">
        <w:rPr>
          <w:szCs w:val="24"/>
        </w:rPr>
        <w:t xml:space="preserve"> </w:t>
      </w:r>
      <w:r w:rsidRPr="006900DF">
        <w:rPr>
          <w:szCs w:val="24"/>
        </w:rPr>
        <w:t>DPAs</w:t>
      </w:r>
      <w:r>
        <w:rPr>
          <w:szCs w:val="24"/>
        </w:rPr>
        <w:t xml:space="preserve"> for winer</w:t>
      </w:r>
      <w:r w:rsidR="00321A3E">
        <w:rPr>
          <w:szCs w:val="24"/>
        </w:rPr>
        <w:t xml:space="preserve">ies (categorized as OFDUs or ARUs) </w:t>
      </w:r>
      <w:r w:rsidR="001B7A72">
        <w:rPr>
          <w:szCs w:val="24"/>
        </w:rPr>
        <w:t>or</w:t>
      </w:r>
      <w:r>
        <w:rPr>
          <w:szCs w:val="24"/>
        </w:rPr>
        <w:t xml:space="preserve"> </w:t>
      </w:r>
      <w:r w:rsidR="00FC45FB">
        <w:rPr>
          <w:szCs w:val="24"/>
        </w:rPr>
        <w:t xml:space="preserve">accessory uses to a </w:t>
      </w:r>
      <w:r>
        <w:rPr>
          <w:szCs w:val="24"/>
        </w:rPr>
        <w:t xml:space="preserve">winery </w:t>
      </w:r>
      <w:r w:rsidR="00A77D82">
        <w:rPr>
          <w:szCs w:val="24"/>
        </w:rPr>
        <w:t>(</w:t>
      </w:r>
      <w:r w:rsidR="00804C43">
        <w:rPr>
          <w:szCs w:val="24"/>
        </w:rPr>
        <w:t xml:space="preserve">on record </w:t>
      </w:r>
      <w:r w:rsidR="00DE0D7E">
        <w:rPr>
          <w:szCs w:val="24"/>
        </w:rPr>
        <w:t>since the 2017 NEP</w:t>
      </w:r>
      <w:r w:rsidR="00A77D82">
        <w:rPr>
          <w:szCs w:val="24"/>
        </w:rPr>
        <w:t>)</w:t>
      </w:r>
      <w:r w:rsidR="00DE0D7E">
        <w:rPr>
          <w:szCs w:val="24"/>
        </w:rPr>
        <w:t xml:space="preserve">, there </w:t>
      </w:r>
      <w:r w:rsidR="006900DF">
        <w:rPr>
          <w:szCs w:val="24"/>
        </w:rPr>
        <w:t xml:space="preserve">have been </w:t>
      </w:r>
      <w:r w:rsidR="00DE0D7E">
        <w:rPr>
          <w:szCs w:val="24"/>
        </w:rPr>
        <w:t xml:space="preserve">no </w:t>
      </w:r>
      <w:r w:rsidR="00902CFE">
        <w:rPr>
          <w:szCs w:val="24"/>
        </w:rPr>
        <w:t xml:space="preserve">Commission </w:t>
      </w:r>
      <w:r w:rsidR="00DE0D7E">
        <w:rPr>
          <w:szCs w:val="24"/>
        </w:rPr>
        <w:t>refusals</w:t>
      </w:r>
      <w:r w:rsidR="00902CFE">
        <w:rPr>
          <w:rStyle w:val="FootnoteReference"/>
          <w:szCs w:val="24"/>
        </w:rPr>
        <w:footnoteReference w:id="7"/>
      </w:r>
      <w:r w:rsidR="00DE0D7E">
        <w:rPr>
          <w:szCs w:val="24"/>
        </w:rPr>
        <w:t xml:space="preserve">. </w:t>
      </w:r>
      <w:r w:rsidR="001F5DEA">
        <w:rPr>
          <w:szCs w:val="24"/>
        </w:rPr>
        <w:t xml:space="preserve">Notwithstanding this, </w:t>
      </w:r>
      <w:r w:rsidR="001859B4">
        <w:rPr>
          <w:rFonts w:ascii="Arial" w:eastAsia="Times New Roman" w:hAnsi="Arial" w:cs="Arial"/>
          <w:szCs w:val="24"/>
        </w:rPr>
        <w:t>s</w:t>
      </w:r>
      <w:r w:rsidR="001E0061">
        <w:rPr>
          <w:rFonts w:ascii="Arial" w:eastAsia="Times New Roman" w:hAnsi="Arial" w:cs="Arial"/>
          <w:szCs w:val="24"/>
        </w:rPr>
        <w:t>taff is recommending that a more comprehensive analysis of the NEP winery-specific policies be carried out</w:t>
      </w:r>
      <w:r w:rsidR="00ED39BD">
        <w:rPr>
          <w:rFonts w:ascii="Arial" w:eastAsia="Times New Roman" w:hAnsi="Arial" w:cs="Arial"/>
          <w:szCs w:val="24"/>
        </w:rPr>
        <w:t>, including additional stakeholder discussions</w:t>
      </w:r>
      <w:r w:rsidR="001F5DEA">
        <w:rPr>
          <w:rFonts w:ascii="Arial" w:eastAsia="Times New Roman" w:hAnsi="Arial" w:cs="Arial"/>
          <w:szCs w:val="24"/>
        </w:rPr>
        <w:t>,</w:t>
      </w:r>
      <w:r w:rsidR="001E0061">
        <w:rPr>
          <w:rFonts w:ascii="Arial" w:eastAsia="Times New Roman" w:hAnsi="Arial" w:cs="Arial"/>
          <w:szCs w:val="24"/>
        </w:rPr>
        <w:t xml:space="preserve"> </w:t>
      </w:r>
      <w:r w:rsidR="00A77D82">
        <w:rPr>
          <w:rFonts w:ascii="Arial" w:eastAsia="Times New Roman" w:hAnsi="Arial" w:cs="Arial"/>
          <w:szCs w:val="24"/>
        </w:rPr>
        <w:t xml:space="preserve">in advance of presenting a final position on </w:t>
      </w:r>
      <w:r w:rsidR="00ED39BD">
        <w:rPr>
          <w:rFonts w:ascii="Arial" w:eastAsia="Times New Roman" w:hAnsi="Arial" w:cs="Arial"/>
          <w:szCs w:val="24"/>
        </w:rPr>
        <w:t>whether</w:t>
      </w:r>
      <w:r w:rsidR="00A77D82">
        <w:rPr>
          <w:rFonts w:ascii="Arial" w:eastAsia="Times New Roman" w:hAnsi="Arial" w:cs="Arial"/>
          <w:szCs w:val="24"/>
        </w:rPr>
        <w:t xml:space="preserve"> an amendment </w:t>
      </w:r>
      <w:r w:rsidR="001F5DEA">
        <w:rPr>
          <w:rFonts w:ascii="Arial" w:eastAsia="Times New Roman" w:hAnsi="Arial" w:cs="Arial"/>
          <w:szCs w:val="24"/>
        </w:rPr>
        <w:t xml:space="preserve">to the current NEP policies respecting these uses </w:t>
      </w:r>
      <w:r w:rsidR="00A77D82">
        <w:rPr>
          <w:rFonts w:ascii="Arial" w:eastAsia="Times New Roman" w:hAnsi="Arial" w:cs="Arial"/>
          <w:szCs w:val="24"/>
        </w:rPr>
        <w:t>is required</w:t>
      </w:r>
      <w:r w:rsidR="008075A6">
        <w:rPr>
          <w:rFonts w:ascii="Arial" w:eastAsia="Times New Roman" w:hAnsi="Arial" w:cs="Arial"/>
          <w:szCs w:val="24"/>
        </w:rPr>
        <w:t xml:space="preserve">.  </w:t>
      </w:r>
      <w:r w:rsidR="001E0061">
        <w:rPr>
          <w:rFonts w:ascii="Arial" w:eastAsia="Times New Roman" w:hAnsi="Arial" w:cs="Arial"/>
          <w:szCs w:val="24"/>
        </w:rPr>
        <w:t xml:space="preserve">Staff recommends that this be done in concert with any ongoing </w:t>
      </w:r>
      <w:r w:rsidR="005F09F5">
        <w:rPr>
          <w:rFonts w:ascii="Arial" w:eastAsia="Times New Roman" w:hAnsi="Arial" w:cs="Arial"/>
          <w:szCs w:val="24"/>
        </w:rPr>
        <w:t>p</w:t>
      </w:r>
      <w:r w:rsidR="001E0061">
        <w:rPr>
          <w:rFonts w:ascii="Arial" w:eastAsia="Times New Roman" w:hAnsi="Arial" w:cs="Arial"/>
          <w:szCs w:val="24"/>
        </w:rPr>
        <w:t xml:space="preserve">olicy </w:t>
      </w:r>
      <w:r w:rsidR="005F09F5">
        <w:rPr>
          <w:rFonts w:ascii="Arial" w:eastAsia="Times New Roman" w:hAnsi="Arial" w:cs="Arial"/>
          <w:szCs w:val="24"/>
        </w:rPr>
        <w:t>g</w:t>
      </w:r>
      <w:r w:rsidR="001E0061">
        <w:rPr>
          <w:rFonts w:ascii="Arial" w:eastAsia="Times New Roman" w:hAnsi="Arial" w:cs="Arial"/>
          <w:szCs w:val="24"/>
        </w:rPr>
        <w:t xml:space="preserve">uideline </w:t>
      </w:r>
      <w:r w:rsidR="00633107">
        <w:rPr>
          <w:rFonts w:ascii="Arial" w:eastAsia="Times New Roman" w:hAnsi="Arial" w:cs="Arial"/>
          <w:szCs w:val="24"/>
        </w:rPr>
        <w:t>development (i</w:t>
      </w:r>
      <w:r w:rsidR="001F5DEA">
        <w:rPr>
          <w:rFonts w:ascii="Arial" w:eastAsia="Times New Roman" w:hAnsi="Arial" w:cs="Arial"/>
          <w:szCs w:val="24"/>
        </w:rPr>
        <w:t xml:space="preserve">.e., </w:t>
      </w:r>
      <w:r w:rsidR="00633107">
        <w:rPr>
          <w:rFonts w:ascii="Arial" w:eastAsia="Times New Roman" w:hAnsi="Arial" w:cs="Arial"/>
          <w:szCs w:val="24"/>
        </w:rPr>
        <w:t>events)</w:t>
      </w:r>
      <w:r w:rsidR="001E0061">
        <w:rPr>
          <w:rFonts w:ascii="Arial" w:eastAsia="Times New Roman" w:hAnsi="Arial" w:cs="Arial"/>
          <w:szCs w:val="24"/>
        </w:rPr>
        <w:t xml:space="preserve">. </w:t>
      </w:r>
    </w:p>
    <w:p w14:paraId="4B2BC382" w14:textId="77777777" w:rsidR="001F5DEA" w:rsidRDefault="001F5DEA" w:rsidP="001F5DEA">
      <w:pPr>
        <w:spacing w:after="0"/>
        <w:rPr>
          <w:rFonts w:ascii="Arial" w:eastAsia="Times New Roman" w:hAnsi="Arial" w:cs="Arial"/>
          <w:szCs w:val="24"/>
          <w:u w:val="single"/>
        </w:rPr>
      </w:pPr>
    </w:p>
    <w:p w14:paraId="1532292B" w14:textId="77777777" w:rsidR="001F5DEA" w:rsidRDefault="001F5DEA" w:rsidP="001F5DEA">
      <w:pPr>
        <w:spacing w:after="0"/>
        <w:rPr>
          <w:rFonts w:ascii="Arial" w:eastAsia="Times New Roman" w:hAnsi="Arial" w:cs="Arial"/>
          <w:szCs w:val="24"/>
          <w:u w:val="single"/>
        </w:rPr>
      </w:pPr>
    </w:p>
    <w:p w14:paraId="0CEACA18" w14:textId="77777777" w:rsidR="001F5DEA" w:rsidRDefault="001F5DEA" w:rsidP="001F5DEA">
      <w:pPr>
        <w:spacing w:after="0"/>
        <w:rPr>
          <w:rFonts w:ascii="Arial" w:eastAsia="Times New Roman" w:hAnsi="Arial" w:cs="Arial"/>
          <w:szCs w:val="24"/>
          <w:u w:val="single"/>
        </w:rPr>
      </w:pPr>
    </w:p>
    <w:p w14:paraId="0B8EF3AD" w14:textId="77777777" w:rsidR="001F5DEA" w:rsidRDefault="001F5DEA" w:rsidP="001F5DEA">
      <w:pPr>
        <w:spacing w:after="0"/>
        <w:rPr>
          <w:rFonts w:ascii="Arial" w:eastAsia="Times New Roman" w:hAnsi="Arial" w:cs="Arial"/>
          <w:szCs w:val="24"/>
          <w:u w:val="single"/>
        </w:rPr>
      </w:pPr>
    </w:p>
    <w:p w14:paraId="204B2CE2" w14:textId="77777777" w:rsidR="001F5DEA" w:rsidRDefault="001F5DEA" w:rsidP="001F5DEA">
      <w:pPr>
        <w:spacing w:after="0"/>
        <w:rPr>
          <w:rFonts w:ascii="Arial" w:eastAsia="Times New Roman" w:hAnsi="Arial" w:cs="Arial"/>
          <w:szCs w:val="24"/>
          <w:u w:val="single"/>
        </w:rPr>
      </w:pPr>
    </w:p>
    <w:p w14:paraId="15B2FA4F" w14:textId="77777777" w:rsidR="001F5DEA" w:rsidRDefault="001F5DEA" w:rsidP="001F5DEA">
      <w:pPr>
        <w:spacing w:after="0"/>
        <w:rPr>
          <w:rFonts w:ascii="Arial" w:eastAsia="Times New Roman" w:hAnsi="Arial" w:cs="Arial"/>
          <w:szCs w:val="24"/>
          <w:u w:val="single"/>
        </w:rPr>
      </w:pPr>
    </w:p>
    <w:p w14:paraId="49587E9B" w14:textId="77777777" w:rsidR="001F5DEA" w:rsidRDefault="001F5DEA" w:rsidP="001F5DEA">
      <w:pPr>
        <w:spacing w:after="0"/>
        <w:rPr>
          <w:rFonts w:ascii="Arial" w:eastAsia="Times New Roman" w:hAnsi="Arial" w:cs="Arial"/>
          <w:szCs w:val="24"/>
          <w:u w:val="single"/>
        </w:rPr>
      </w:pPr>
    </w:p>
    <w:p w14:paraId="406FEC6D" w14:textId="77777777" w:rsidR="001F5DEA" w:rsidRDefault="001F5DEA" w:rsidP="001F5DEA">
      <w:pPr>
        <w:spacing w:after="0"/>
        <w:rPr>
          <w:rFonts w:ascii="Arial" w:eastAsia="Times New Roman" w:hAnsi="Arial" w:cs="Arial"/>
          <w:szCs w:val="24"/>
          <w:u w:val="single"/>
        </w:rPr>
      </w:pPr>
    </w:p>
    <w:p w14:paraId="13C01C8A" w14:textId="77777777" w:rsidR="001F5DEA" w:rsidRDefault="001F5DEA" w:rsidP="001F5DEA">
      <w:pPr>
        <w:spacing w:after="0"/>
        <w:rPr>
          <w:rFonts w:ascii="Arial" w:eastAsia="Times New Roman" w:hAnsi="Arial" w:cs="Arial"/>
          <w:szCs w:val="24"/>
          <w:u w:val="single"/>
        </w:rPr>
      </w:pPr>
    </w:p>
    <w:p w14:paraId="265D1DA3" w14:textId="77777777" w:rsidR="001F5DEA" w:rsidRDefault="001F5DEA" w:rsidP="001F5DEA">
      <w:pPr>
        <w:spacing w:after="0"/>
        <w:rPr>
          <w:rFonts w:ascii="Arial" w:eastAsia="Times New Roman" w:hAnsi="Arial" w:cs="Arial"/>
          <w:szCs w:val="24"/>
          <w:u w:val="single"/>
        </w:rPr>
      </w:pPr>
    </w:p>
    <w:p w14:paraId="07902727" w14:textId="4C13958D" w:rsidR="009248AC" w:rsidRPr="00016A0D" w:rsidRDefault="009248AC" w:rsidP="001F5DEA">
      <w:pPr>
        <w:spacing w:after="0"/>
        <w:rPr>
          <w:rFonts w:ascii="Arial" w:eastAsia="Times New Roman" w:hAnsi="Arial" w:cs="Arial"/>
          <w:szCs w:val="24"/>
          <w:u w:val="single"/>
        </w:rPr>
      </w:pPr>
      <w:r w:rsidRPr="00016A0D">
        <w:rPr>
          <w:rFonts w:ascii="Arial" w:eastAsia="Times New Roman" w:hAnsi="Arial" w:cs="Arial"/>
          <w:szCs w:val="24"/>
          <w:u w:val="single"/>
        </w:rPr>
        <w:t>Dwelling Units Accessory to Agricultur</w:t>
      </w:r>
      <w:r w:rsidR="00C74765" w:rsidRPr="00016A0D">
        <w:rPr>
          <w:rFonts w:ascii="Arial" w:eastAsia="Times New Roman" w:hAnsi="Arial" w:cs="Arial"/>
          <w:szCs w:val="24"/>
          <w:u w:val="single"/>
        </w:rPr>
        <w:t xml:space="preserve">al Uses </w:t>
      </w:r>
    </w:p>
    <w:p w14:paraId="483D9CC4" w14:textId="7A46A053" w:rsidR="009248AC" w:rsidRDefault="009248AC" w:rsidP="009248AC">
      <w:pPr>
        <w:spacing w:after="0" w:line="240" w:lineRule="auto"/>
        <w:rPr>
          <w:rFonts w:ascii="Arial" w:eastAsia="Times New Roman" w:hAnsi="Arial" w:cs="Arial"/>
          <w:szCs w:val="24"/>
        </w:rPr>
      </w:pPr>
    </w:p>
    <w:p w14:paraId="3585DD75" w14:textId="3455A44D" w:rsidR="009248AC" w:rsidRPr="009248AC" w:rsidRDefault="00016A0D" w:rsidP="00B15E91">
      <w:pPr>
        <w:spacing w:after="0"/>
        <w:rPr>
          <w:rFonts w:ascii="Arial" w:eastAsia="Times New Roman" w:hAnsi="Arial" w:cs="Arial"/>
          <w:szCs w:val="24"/>
        </w:rPr>
      </w:pPr>
      <w:r>
        <w:rPr>
          <w:rFonts w:ascii="Arial" w:eastAsia="Times New Roman" w:hAnsi="Arial" w:cs="Arial"/>
          <w:szCs w:val="24"/>
        </w:rPr>
        <w:t xml:space="preserve">The </w:t>
      </w:r>
      <w:r w:rsidR="009248AC">
        <w:rPr>
          <w:rFonts w:ascii="Arial" w:eastAsia="Times New Roman" w:hAnsi="Arial" w:cs="Arial"/>
          <w:szCs w:val="24"/>
        </w:rPr>
        <w:t>NEP policies</w:t>
      </w:r>
      <w:r w:rsidR="009248AC" w:rsidRPr="009248AC">
        <w:rPr>
          <w:rFonts w:ascii="Arial" w:eastAsia="Times New Roman" w:hAnsi="Arial" w:cs="Arial"/>
          <w:szCs w:val="24"/>
        </w:rPr>
        <w:t xml:space="preserve"> respecting dwelling units accessory to agricultural uses were established to recognize the unique demands of certain types of agricultural operations and that a second (temporary) dwelling for farm help (both seasonal and full-time help), is often necessary for the efficient operation of the farm and its viability.   </w:t>
      </w:r>
    </w:p>
    <w:p w14:paraId="2CB9C57A" w14:textId="088E43B5" w:rsidR="000D432E" w:rsidRDefault="000D432E" w:rsidP="00B15E91">
      <w:pPr>
        <w:tabs>
          <w:tab w:val="center" w:pos="4680"/>
          <w:tab w:val="right" w:pos="9360"/>
        </w:tabs>
        <w:spacing w:after="0"/>
        <w:rPr>
          <w:rFonts w:ascii="Arial" w:hAnsi="Arial" w:cs="Arial"/>
          <w:szCs w:val="24"/>
        </w:rPr>
      </w:pPr>
    </w:p>
    <w:p w14:paraId="5045A1A2" w14:textId="4DEDF480" w:rsidR="000D432E" w:rsidRDefault="001F5DEA" w:rsidP="00B15E91">
      <w:pPr>
        <w:tabs>
          <w:tab w:val="center" w:pos="4680"/>
          <w:tab w:val="right" w:pos="9360"/>
        </w:tabs>
        <w:spacing w:after="0"/>
        <w:rPr>
          <w:rFonts w:ascii="Arial" w:hAnsi="Arial" w:cs="Arial"/>
          <w:szCs w:val="24"/>
        </w:rPr>
      </w:pPr>
      <w:r w:rsidRPr="005C6209">
        <w:rPr>
          <w:rFonts w:cstheme="minorHAnsi"/>
          <w:b/>
          <w:bCs/>
          <w:noProof/>
          <w:lang w:val="en-US"/>
        </w:rPr>
        <mc:AlternateContent>
          <mc:Choice Requires="wpg">
            <w:drawing>
              <wp:anchor distT="45720" distB="45720" distL="182880" distR="182880" simplePos="0" relativeHeight="251671040" behindDoc="0" locked="0" layoutInCell="1" allowOverlap="1" wp14:anchorId="6162E5D9" wp14:editId="1C06E92D">
                <wp:simplePos x="0" y="0"/>
                <wp:positionH relativeFrom="margin">
                  <wp:align>left</wp:align>
                </wp:positionH>
                <wp:positionV relativeFrom="margin">
                  <wp:posOffset>-241300</wp:posOffset>
                </wp:positionV>
                <wp:extent cx="6076950" cy="2742565"/>
                <wp:effectExtent l="0" t="0" r="19050" b="19685"/>
                <wp:wrapSquare wrapText="bothSides"/>
                <wp:docPr id="1" name="Group 1"/>
                <wp:cNvGraphicFramePr/>
                <a:graphic xmlns:a="http://schemas.openxmlformats.org/drawingml/2006/main">
                  <a:graphicData uri="http://schemas.microsoft.com/office/word/2010/wordprocessingGroup">
                    <wpg:wgp>
                      <wpg:cNvGrpSpPr/>
                      <wpg:grpSpPr>
                        <a:xfrm>
                          <a:off x="0" y="0"/>
                          <a:ext cx="6076950" cy="2742565"/>
                          <a:chOff x="-38528" y="596780"/>
                          <a:chExt cx="3575605" cy="2319569"/>
                        </a:xfrm>
                      </wpg:grpSpPr>
                      <wps:wsp>
                        <wps:cNvPr id="2" name="Rectangle 2"/>
                        <wps:cNvSpPr/>
                        <wps:spPr>
                          <a:xfrm>
                            <a:off x="-30371" y="596780"/>
                            <a:ext cx="3567448" cy="270605"/>
                          </a:xfrm>
                          <a:prstGeom prst="rect">
                            <a:avLst/>
                          </a:prstGeom>
                          <a:solidFill>
                            <a:srgbClr val="DDDDDD"/>
                          </a:solidFill>
                          <a:ln w="25400" cap="flat" cmpd="sng" algn="ctr">
                            <a:solidFill>
                              <a:srgbClr val="DDDDDD"/>
                            </a:solidFill>
                            <a:prstDash val="solid"/>
                          </a:ln>
                          <a:effectLst/>
                        </wps:spPr>
                        <wps:txbx>
                          <w:txbxContent>
                            <w:p w14:paraId="166FC04A" w14:textId="0358E94C" w:rsidR="00BC7C86" w:rsidRPr="005C6209" w:rsidRDefault="00BC7C86" w:rsidP="00E95D20">
                              <w:pPr>
                                <w:jc w:val="center"/>
                                <w:rPr>
                                  <w:rFonts w:asciiTheme="majorHAnsi" w:eastAsiaTheme="majorEastAsia" w:hAnsiTheme="majorHAnsi" w:cstheme="majorBidi"/>
                                  <w:color w:val="000000" w:themeColor="text1"/>
                                  <w:szCs w:val="28"/>
                                  <w:lang w:val="en-US"/>
                                </w:rPr>
                              </w:pPr>
                              <w:r w:rsidRPr="005C6209">
                                <w:rPr>
                                  <w:rFonts w:asciiTheme="majorHAnsi" w:eastAsiaTheme="majorEastAsia" w:hAnsiTheme="majorHAnsi" w:cstheme="majorBidi"/>
                                  <w:color w:val="000000" w:themeColor="text1"/>
                                  <w:szCs w:val="28"/>
                                  <w:lang w:val="en-US"/>
                                </w:rPr>
                                <w:t xml:space="preserve">SUMMARY RECOMMENDATION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38528" y="867385"/>
                            <a:ext cx="3571301" cy="2048964"/>
                          </a:xfrm>
                          <a:prstGeom prst="rect">
                            <a:avLst/>
                          </a:prstGeom>
                          <a:noFill/>
                          <a:ln w="6350">
                            <a:solidFill>
                              <a:srgbClr val="DDDDDD"/>
                            </a:solidFill>
                          </a:ln>
                          <a:effectLst/>
                        </wps:spPr>
                        <wps:txbx>
                          <w:txbxContent>
                            <w:p w14:paraId="78218C49" w14:textId="0077631A" w:rsidR="00BC7C86" w:rsidRPr="00A67759" w:rsidRDefault="00BC7C86" w:rsidP="00D8662D">
                              <w:r w:rsidRPr="00A67759">
                                <w:t>Staff recommends:</w:t>
                              </w:r>
                            </w:p>
                            <w:p w14:paraId="57F9AB73" w14:textId="65360006" w:rsidR="00BC7C86" w:rsidRPr="00A67759" w:rsidRDefault="00BC7C86" w:rsidP="00D8662D">
                              <w:pPr>
                                <w:pStyle w:val="ListParagraph"/>
                                <w:numPr>
                                  <w:ilvl w:val="0"/>
                                  <w:numId w:val="26"/>
                                </w:numPr>
                              </w:pPr>
                              <w:r w:rsidRPr="00A67759">
                                <w:t xml:space="preserve">Part 1.4.3.2 policy respecting agriculture-related uses and on-farm diversified uses being permitted only </w:t>
                              </w:r>
                              <w:r w:rsidRPr="00A67759">
                                <w:rPr>
                                  <w:i/>
                                  <w:iCs/>
                                </w:rPr>
                                <w:t>in prime agricultural areas</w:t>
                              </w:r>
                              <w:r w:rsidRPr="00A67759">
                                <w:t xml:space="preserve"> be addressed through a Plan amendment. </w:t>
                              </w:r>
                            </w:p>
                            <w:p w14:paraId="54F65BEE" w14:textId="7620B53A" w:rsidR="00BC7C86" w:rsidRPr="00A67759" w:rsidRDefault="00BC7C86" w:rsidP="00D8662D">
                              <w:pPr>
                                <w:pStyle w:val="ListParagraph"/>
                                <w:numPr>
                                  <w:ilvl w:val="0"/>
                                  <w:numId w:val="26"/>
                                </w:numPr>
                              </w:pPr>
                              <w:r w:rsidRPr="00A67759">
                                <w:t xml:space="preserve">The development of policy guidance material for On-farm Diversified Uses be postponed until the full scope of the Plan amendment be considered and proposed. </w:t>
                              </w:r>
                            </w:p>
                            <w:p w14:paraId="5562E117" w14:textId="10221013" w:rsidR="00BC7C86" w:rsidRPr="00A67759" w:rsidRDefault="00BC7C86" w:rsidP="00CE78D0">
                              <w:pPr>
                                <w:pStyle w:val="ListParagraph"/>
                                <w:numPr>
                                  <w:ilvl w:val="0"/>
                                  <w:numId w:val="26"/>
                                </w:numPr>
                              </w:pPr>
                              <w:r w:rsidRPr="00A67759">
                                <w:t xml:space="preserve">Further analysis of the NEP winery- specific policies be undertaken and return to the Commission with an Addendum Report providing recommendation on whether these policies should be addressed in the Plan amendment. </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162E5D9" id="Group 1" o:spid="_x0000_s1026" style="position:absolute;margin-left:0;margin-top:-19pt;width:478.5pt;height:215.95pt;z-index:251671040;mso-wrap-distance-left:14.4pt;mso-wrap-distance-top:3.6pt;mso-wrap-distance-right:14.4pt;mso-wrap-distance-bottom:3.6pt;mso-position-horizontal:left;mso-position-horizontal-relative:margin;mso-position-vertical-relative:margin;mso-width-relative:margin;mso-height-relative:margin" coordorigin="-385,5967" coordsize="35756,23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">
                <v:rect id="Rectangle 2" o:spid="_x0000_s1027" style="position:absolute;left:-303;top:5967;width:35673;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" fillcolor="#ddd" strokecolor="#ddd" strokeweight="2pt">
                  <v:textbox>
                    <w:txbxContent>
                      <w:p w14:paraId="166FC04A" w14:textId="0358E94C" w:rsidR="00BC7C86" w:rsidRPr="005C6209" w:rsidRDefault="00BC7C86" w:rsidP="00E95D20">
                        <w:pPr>
                          <w:jc w:val="center"/>
                          <w:rPr>
                            <w:rFonts w:asciiTheme="majorHAnsi" w:eastAsiaTheme="majorEastAsia" w:hAnsiTheme="majorHAnsi" w:cstheme="majorBidi"/>
                            <w:color w:val="000000" w:themeColor="text1"/>
                            <w:szCs w:val="28"/>
                            <w:lang w:val="en-US"/>
                          </w:rPr>
                        </w:pPr>
                        <w:r w:rsidRPr="005C6209">
                          <w:rPr>
                            <w:rFonts w:asciiTheme="majorHAnsi" w:eastAsiaTheme="majorEastAsia" w:hAnsiTheme="majorHAnsi" w:cstheme="majorBidi"/>
                            <w:color w:val="000000" w:themeColor="text1"/>
                            <w:szCs w:val="28"/>
                            <w:lang w:val="en-US"/>
                          </w:rPr>
                          <w:t xml:space="preserve">SUMMARY RECOMMENDATION </w:t>
                        </w:r>
                      </w:p>
                    </w:txbxContent>
                  </v:textbox>
                </v:rect>
                <v:shapetype id="_x0000_t202" coordsize="21600,21600" o:spt="202" path="m,l,21600r21600,l21600,xe">
                  <v:stroke joinstyle="miter"/>
                  <v:path gradientshapeok="t" o:connecttype="rect"/>
                </v:shapetype>
                <v:shape id="Text Box 3" o:spid="_x0000_s1028" type="#_x0000_t202" style="position:absolute;left:-385;top:8673;width:35712;height:20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" filled="f" strokecolor="#ddd" strokeweight=".5pt">
                  <v:textbox inset=",7.2pt,,0">
                    <w:txbxContent>
                      <w:p w14:paraId="78218C49" w14:textId="0077631A" w:rsidR="00BC7C86" w:rsidRPr="00A67759" w:rsidRDefault="00BC7C86" w:rsidP="00D8662D">
                        <w:r w:rsidRPr="00A67759">
                          <w:t>Staff recommends:</w:t>
                        </w:r>
                      </w:p>
                      <w:p w14:paraId="57F9AB73" w14:textId="65360006" w:rsidR="00BC7C86" w:rsidRPr="00A67759" w:rsidRDefault="00BC7C86" w:rsidP="00D8662D">
                        <w:pPr>
                          <w:pStyle w:val="ListParagraph"/>
                          <w:numPr>
                            <w:ilvl w:val="0"/>
                            <w:numId w:val="26"/>
                          </w:numPr>
                        </w:pPr>
                        <w:r w:rsidRPr="00A67759">
                          <w:t xml:space="preserve">Part 1.4.3.2 policy respecting agriculture-related uses and on-farm diversified uses being permitted only </w:t>
                        </w:r>
                        <w:r w:rsidRPr="00A67759">
                          <w:rPr>
                            <w:i/>
                            <w:iCs/>
                          </w:rPr>
                          <w:t>in prime agricultural areas</w:t>
                        </w:r>
                        <w:r w:rsidRPr="00A67759">
                          <w:t xml:space="preserve"> be addressed through a Plan amendment. </w:t>
                        </w:r>
                      </w:p>
                      <w:p w14:paraId="54F65BEE" w14:textId="7620B53A" w:rsidR="00BC7C86" w:rsidRPr="00A67759" w:rsidRDefault="00BC7C86" w:rsidP="00D8662D">
                        <w:pPr>
                          <w:pStyle w:val="ListParagraph"/>
                          <w:numPr>
                            <w:ilvl w:val="0"/>
                            <w:numId w:val="26"/>
                          </w:numPr>
                        </w:pPr>
                        <w:r w:rsidRPr="00A67759">
                          <w:t xml:space="preserve">The development of policy guidance material for On-farm Diversified Uses be postponed until the full scope of the Plan amendment be considered and proposed. </w:t>
                        </w:r>
                      </w:p>
                      <w:p w14:paraId="5562E117" w14:textId="10221013" w:rsidR="00BC7C86" w:rsidRPr="00A67759" w:rsidRDefault="00BC7C86" w:rsidP="00CE78D0">
                        <w:pPr>
                          <w:pStyle w:val="ListParagraph"/>
                          <w:numPr>
                            <w:ilvl w:val="0"/>
                            <w:numId w:val="26"/>
                          </w:numPr>
                        </w:pPr>
                        <w:r w:rsidRPr="00A67759">
                          <w:t xml:space="preserve">Further analysis of the NEP winery- specific policies be undertaken and return to the Commission with an Addendum Report providing recommendation on whether these policies should be addressed in the Plan amendment. </w:t>
                        </w:r>
                      </w:p>
                    </w:txbxContent>
                  </v:textbox>
                </v:shape>
                <w10:wrap type="square" anchorx="margin" anchory="margin"/>
              </v:group>
            </w:pict>
          </mc:Fallback>
        </mc:AlternateContent>
      </w:r>
      <w:r w:rsidR="00862F2D">
        <w:rPr>
          <w:sz w:val="23"/>
          <w:szCs w:val="23"/>
        </w:rPr>
        <w:t xml:space="preserve">The 1985 NEP permitted permanent second dwellings for farm help on a farm lot. This policy was changed during the first (1990) NEP review given the </w:t>
      </w:r>
      <w:r w:rsidR="00D84AF0">
        <w:rPr>
          <w:sz w:val="23"/>
          <w:szCs w:val="23"/>
        </w:rPr>
        <w:t xml:space="preserve">observed </w:t>
      </w:r>
      <w:r w:rsidR="00862F2D">
        <w:rPr>
          <w:sz w:val="23"/>
          <w:szCs w:val="23"/>
        </w:rPr>
        <w:t xml:space="preserve">impact on the Purpose and Objectives of the NEP, </w:t>
      </w:r>
      <w:r w:rsidR="00D84AF0">
        <w:rPr>
          <w:sz w:val="23"/>
          <w:szCs w:val="23"/>
        </w:rPr>
        <w:t xml:space="preserve">namely in the form of </w:t>
      </w:r>
      <w:r w:rsidR="00862F2D">
        <w:rPr>
          <w:sz w:val="23"/>
          <w:szCs w:val="23"/>
        </w:rPr>
        <w:t>pressure for future severance of these dwellings</w:t>
      </w:r>
      <w:r w:rsidR="00D84AF0">
        <w:rPr>
          <w:sz w:val="23"/>
          <w:szCs w:val="23"/>
        </w:rPr>
        <w:t>. T</w:t>
      </w:r>
      <w:r w:rsidR="000D432E" w:rsidRPr="000D432E">
        <w:rPr>
          <w:rFonts w:ascii="Arial" w:hAnsi="Arial" w:cs="Arial"/>
          <w:szCs w:val="24"/>
        </w:rPr>
        <w:t xml:space="preserve">he </w:t>
      </w:r>
      <w:r w:rsidR="008B1978">
        <w:rPr>
          <w:rFonts w:ascii="Arial" w:hAnsi="Arial" w:cs="Arial"/>
          <w:szCs w:val="24"/>
        </w:rPr>
        <w:t xml:space="preserve">NEP </w:t>
      </w:r>
      <w:r w:rsidR="000D432E" w:rsidRPr="000D432E">
        <w:rPr>
          <w:rFonts w:ascii="Arial" w:hAnsi="Arial" w:cs="Arial"/>
          <w:szCs w:val="24"/>
        </w:rPr>
        <w:t>requirement for farm labour accommodations to be temporary</w:t>
      </w:r>
      <w:r w:rsidR="000D432E">
        <w:rPr>
          <w:rFonts w:ascii="Arial" w:hAnsi="Arial" w:cs="Arial"/>
          <w:szCs w:val="24"/>
        </w:rPr>
        <w:t xml:space="preserve"> </w:t>
      </w:r>
      <w:r w:rsidR="000D432E" w:rsidRPr="000D432E">
        <w:rPr>
          <w:rFonts w:ascii="Arial" w:hAnsi="Arial" w:cs="Arial"/>
          <w:szCs w:val="24"/>
        </w:rPr>
        <w:t>assists in preventing the cumulative intensification of development through additional permanent dwellings</w:t>
      </w:r>
      <w:r w:rsidR="000D432E">
        <w:rPr>
          <w:rFonts w:ascii="Arial" w:hAnsi="Arial" w:cs="Arial"/>
          <w:szCs w:val="24"/>
        </w:rPr>
        <w:t xml:space="preserve"> (and potential for seeking future severance)</w:t>
      </w:r>
      <w:r w:rsidR="000D432E" w:rsidRPr="000D432E">
        <w:rPr>
          <w:rFonts w:ascii="Arial" w:hAnsi="Arial" w:cs="Arial"/>
          <w:szCs w:val="24"/>
        </w:rPr>
        <w:t>, and therefore better reflects the Purpose and Objectives of the NEP and the NEPDA, which require that the open landscape character of the Niagara Escarpment be maintained insofar as possible, by such means as compatible farming or forestry and by preserving the natural scenery.</w:t>
      </w:r>
      <w:r w:rsidR="00DE3EA0">
        <w:rPr>
          <w:rFonts w:ascii="Arial" w:hAnsi="Arial" w:cs="Arial"/>
          <w:szCs w:val="24"/>
        </w:rPr>
        <w:t xml:space="preserve"> The lot fabric in the NEP Area</w:t>
      </w:r>
      <w:r w:rsidR="004259C5">
        <w:rPr>
          <w:rFonts w:ascii="Arial" w:hAnsi="Arial" w:cs="Arial"/>
          <w:szCs w:val="24"/>
        </w:rPr>
        <w:t xml:space="preserve"> (</w:t>
      </w:r>
      <w:r w:rsidR="00DE3EA0">
        <w:rPr>
          <w:rFonts w:ascii="Arial" w:hAnsi="Arial" w:cs="Arial"/>
          <w:szCs w:val="24"/>
        </w:rPr>
        <w:t>e.g., large rural lots</w:t>
      </w:r>
      <w:r w:rsidR="002A714C">
        <w:rPr>
          <w:rFonts w:ascii="Arial" w:hAnsi="Arial" w:cs="Arial"/>
          <w:szCs w:val="24"/>
        </w:rPr>
        <w:t xml:space="preserve"> that have not been severed multiple times</w:t>
      </w:r>
      <w:r w:rsidR="004259C5">
        <w:rPr>
          <w:rFonts w:ascii="Arial" w:hAnsi="Arial" w:cs="Arial"/>
          <w:szCs w:val="24"/>
        </w:rPr>
        <w:t>)</w:t>
      </w:r>
      <w:r w:rsidR="00DE3EA0">
        <w:rPr>
          <w:rFonts w:ascii="Arial" w:hAnsi="Arial" w:cs="Arial"/>
          <w:szCs w:val="24"/>
        </w:rPr>
        <w:t xml:space="preserve"> is critical to maintaining</w:t>
      </w:r>
      <w:r w:rsidR="002A714C">
        <w:rPr>
          <w:rFonts w:ascii="Arial" w:hAnsi="Arial" w:cs="Arial"/>
          <w:szCs w:val="24"/>
        </w:rPr>
        <w:t xml:space="preserve"> the Escarpment’s open landscape character.</w:t>
      </w:r>
      <w:r w:rsidR="00DE3EA0">
        <w:rPr>
          <w:rFonts w:ascii="Arial" w:hAnsi="Arial" w:cs="Arial"/>
          <w:szCs w:val="24"/>
        </w:rPr>
        <w:t xml:space="preserve"> </w:t>
      </w:r>
      <w:r w:rsidR="000D432E" w:rsidRPr="000D432E">
        <w:rPr>
          <w:rFonts w:ascii="Arial" w:hAnsi="Arial" w:cs="Arial"/>
          <w:szCs w:val="24"/>
        </w:rPr>
        <w:t xml:space="preserve"> In addition, the requirement for temporary structures better adapts to the changing labour needs of the farm operation over time (i.e.</w:t>
      </w:r>
      <w:r w:rsidR="00E33A01">
        <w:rPr>
          <w:rFonts w:ascii="Arial" w:hAnsi="Arial" w:cs="Arial"/>
          <w:szCs w:val="24"/>
        </w:rPr>
        <w:t>,</w:t>
      </w:r>
      <w:r w:rsidR="000D432E" w:rsidRPr="000D432E">
        <w:rPr>
          <w:rFonts w:ascii="Arial" w:hAnsi="Arial" w:cs="Arial"/>
          <w:szCs w:val="24"/>
        </w:rPr>
        <w:t xml:space="preserve"> when</w:t>
      </w:r>
      <w:r w:rsidR="009B659F">
        <w:rPr>
          <w:rFonts w:ascii="Arial" w:hAnsi="Arial" w:cs="Arial"/>
          <w:szCs w:val="24"/>
        </w:rPr>
        <w:t>/if</w:t>
      </w:r>
      <w:r w:rsidR="000D432E" w:rsidRPr="000D432E">
        <w:rPr>
          <w:rFonts w:ascii="Arial" w:hAnsi="Arial" w:cs="Arial"/>
          <w:szCs w:val="24"/>
        </w:rPr>
        <w:t xml:space="preserve"> the farm help is no longer needed). </w:t>
      </w:r>
    </w:p>
    <w:p w14:paraId="274A08CF" w14:textId="691B0DD1" w:rsidR="00997C72" w:rsidRDefault="00997C72" w:rsidP="00B15E91">
      <w:pPr>
        <w:tabs>
          <w:tab w:val="center" w:pos="4680"/>
          <w:tab w:val="right" w:pos="9360"/>
        </w:tabs>
        <w:spacing w:after="0"/>
        <w:rPr>
          <w:rFonts w:ascii="Arial" w:hAnsi="Arial" w:cs="Arial"/>
          <w:szCs w:val="24"/>
        </w:rPr>
      </w:pPr>
    </w:p>
    <w:p w14:paraId="0290F821" w14:textId="186D2C4B" w:rsidR="00186CC7" w:rsidRDefault="004A1C78" w:rsidP="00715939">
      <w:pPr>
        <w:spacing w:after="0"/>
        <w:rPr>
          <w:rFonts w:ascii="Arial" w:eastAsia="Times New Roman" w:hAnsi="Arial" w:cs="Arial"/>
          <w:szCs w:val="24"/>
        </w:rPr>
      </w:pPr>
      <w:r>
        <w:rPr>
          <w:rFonts w:ascii="Arial" w:hAnsi="Arial" w:cs="Arial"/>
          <w:szCs w:val="24"/>
        </w:rPr>
        <w:t xml:space="preserve">The 2017 NEP policies were improved </w:t>
      </w:r>
      <w:r w:rsidR="00C74765">
        <w:rPr>
          <w:rFonts w:ascii="Arial" w:hAnsi="Arial" w:cs="Arial"/>
          <w:szCs w:val="24"/>
        </w:rPr>
        <w:t>by</w:t>
      </w:r>
      <w:r>
        <w:rPr>
          <w:rFonts w:ascii="Arial" w:hAnsi="Arial" w:cs="Arial"/>
          <w:szCs w:val="24"/>
        </w:rPr>
        <w:t xml:space="preserve"> remov</w:t>
      </w:r>
      <w:r w:rsidR="00C74765">
        <w:rPr>
          <w:rFonts w:ascii="Arial" w:hAnsi="Arial" w:cs="Arial"/>
          <w:szCs w:val="24"/>
        </w:rPr>
        <w:t>ing</w:t>
      </w:r>
      <w:r>
        <w:rPr>
          <w:rFonts w:ascii="Arial" w:hAnsi="Arial" w:cs="Arial"/>
          <w:szCs w:val="24"/>
        </w:rPr>
        <w:t xml:space="preserve"> the </w:t>
      </w:r>
      <w:r w:rsidR="00A85611">
        <w:rPr>
          <w:rFonts w:ascii="Arial" w:hAnsi="Arial" w:cs="Arial"/>
          <w:szCs w:val="24"/>
        </w:rPr>
        <w:t>prescriptive requirement</w:t>
      </w:r>
      <w:r w:rsidR="00123A2C">
        <w:rPr>
          <w:rFonts w:ascii="Arial" w:hAnsi="Arial" w:cs="Arial"/>
          <w:szCs w:val="24"/>
        </w:rPr>
        <w:t xml:space="preserve"> for a </w:t>
      </w:r>
      <w:r w:rsidR="001D7AEC">
        <w:rPr>
          <w:rFonts w:ascii="Arial" w:hAnsi="Arial" w:cs="Arial"/>
          <w:szCs w:val="24"/>
        </w:rPr>
        <w:t>three</w:t>
      </w:r>
      <w:r w:rsidR="00123A2C">
        <w:rPr>
          <w:rFonts w:ascii="Arial" w:hAnsi="Arial" w:cs="Arial"/>
          <w:szCs w:val="24"/>
        </w:rPr>
        <w:t xml:space="preserve">-year limit on approvals for </w:t>
      </w:r>
      <w:r w:rsidR="00A85611">
        <w:rPr>
          <w:rFonts w:ascii="Arial" w:hAnsi="Arial" w:cs="Arial"/>
          <w:szCs w:val="24"/>
        </w:rPr>
        <w:t>these</w:t>
      </w:r>
      <w:r w:rsidR="00123A2C">
        <w:rPr>
          <w:rFonts w:ascii="Arial" w:hAnsi="Arial" w:cs="Arial"/>
          <w:szCs w:val="24"/>
        </w:rPr>
        <w:t xml:space="preserve"> uses</w:t>
      </w:r>
      <w:r w:rsidR="00421D86">
        <w:rPr>
          <w:rFonts w:ascii="Arial" w:hAnsi="Arial" w:cs="Arial"/>
          <w:szCs w:val="24"/>
        </w:rPr>
        <w:t xml:space="preserve">, after which time </w:t>
      </w:r>
      <w:r w:rsidR="00165807">
        <w:rPr>
          <w:rFonts w:ascii="Arial" w:hAnsi="Arial" w:cs="Arial"/>
          <w:szCs w:val="24"/>
        </w:rPr>
        <w:t xml:space="preserve">an applicant would be required to re-apply for a new Permit </w:t>
      </w:r>
      <w:r w:rsidR="00A85611">
        <w:rPr>
          <w:rFonts w:ascii="Arial" w:hAnsi="Arial" w:cs="Arial"/>
          <w:szCs w:val="24"/>
        </w:rPr>
        <w:t>to</w:t>
      </w:r>
      <w:r w:rsidR="00165807">
        <w:rPr>
          <w:rFonts w:ascii="Arial" w:hAnsi="Arial" w:cs="Arial"/>
          <w:szCs w:val="24"/>
        </w:rPr>
        <w:t xml:space="preserve"> continue the use. </w:t>
      </w:r>
      <w:r w:rsidR="00A85611">
        <w:rPr>
          <w:rFonts w:ascii="Arial" w:hAnsi="Arial" w:cs="Arial"/>
          <w:szCs w:val="24"/>
        </w:rPr>
        <w:t xml:space="preserve">Alternatively, </w:t>
      </w:r>
      <w:r w:rsidR="00165807">
        <w:rPr>
          <w:rFonts w:ascii="Arial" w:hAnsi="Arial" w:cs="Arial"/>
          <w:szCs w:val="24"/>
        </w:rPr>
        <w:t xml:space="preserve">the 2017 NEP policy provides </w:t>
      </w:r>
      <w:r w:rsidR="00421D86">
        <w:rPr>
          <w:rFonts w:ascii="Arial" w:hAnsi="Arial" w:cs="Arial"/>
          <w:szCs w:val="24"/>
        </w:rPr>
        <w:t xml:space="preserve">greater flexibility for NEC </w:t>
      </w:r>
      <w:r w:rsidR="00140129">
        <w:rPr>
          <w:rFonts w:ascii="Arial" w:hAnsi="Arial" w:cs="Arial"/>
          <w:szCs w:val="24"/>
        </w:rPr>
        <w:t xml:space="preserve">staff </w:t>
      </w:r>
      <w:r w:rsidR="007116F9">
        <w:rPr>
          <w:rFonts w:ascii="Arial" w:hAnsi="Arial" w:cs="Arial"/>
          <w:szCs w:val="24"/>
        </w:rPr>
        <w:t>to prescribe the appropriate condition respecting when the dwelling</w:t>
      </w:r>
      <w:r w:rsidR="00E2467E">
        <w:rPr>
          <w:rFonts w:ascii="Arial" w:hAnsi="Arial" w:cs="Arial"/>
          <w:szCs w:val="24"/>
        </w:rPr>
        <w:t xml:space="preserve"> unit is required to be removed (‘when the dwelling unit is no longer needed”)</w:t>
      </w:r>
      <w:r w:rsidR="007116F9">
        <w:rPr>
          <w:rFonts w:ascii="Arial" w:hAnsi="Arial" w:cs="Arial"/>
          <w:szCs w:val="24"/>
        </w:rPr>
        <w:t xml:space="preserve">. </w:t>
      </w:r>
      <w:r w:rsidR="009B1D0C">
        <w:rPr>
          <w:rFonts w:ascii="Arial" w:hAnsi="Arial" w:cs="Arial"/>
          <w:szCs w:val="24"/>
        </w:rPr>
        <w:t>The policies were also modernized through the removal o</w:t>
      </w:r>
      <w:r w:rsidR="007121CF">
        <w:rPr>
          <w:rFonts w:ascii="Arial" w:hAnsi="Arial" w:cs="Arial"/>
          <w:szCs w:val="24"/>
        </w:rPr>
        <w:t xml:space="preserve">f the </w:t>
      </w:r>
      <w:r w:rsidR="007121CF">
        <w:rPr>
          <w:rFonts w:ascii="Arial" w:hAnsi="Arial" w:cs="Arial"/>
          <w:szCs w:val="24"/>
        </w:rPr>
        <w:lastRenderedPageBreak/>
        <w:t>previous requirement for the farmer to live in the principal farm residence with farming as his/her principal occupation</w:t>
      </w:r>
      <w:r w:rsidR="00BD16EC">
        <w:rPr>
          <w:rFonts w:ascii="Arial" w:hAnsi="Arial" w:cs="Arial"/>
          <w:szCs w:val="24"/>
        </w:rPr>
        <w:t xml:space="preserve">.  </w:t>
      </w:r>
      <w:r w:rsidR="00186CC7">
        <w:rPr>
          <w:rFonts w:ascii="Arial" w:hAnsi="Arial" w:cs="Arial"/>
          <w:szCs w:val="24"/>
        </w:rPr>
        <w:t xml:space="preserve">The historical context </w:t>
      </w:r>
      <w:r w:rsidR="00CE6192">
        <w:rPr>
          <w:rFonts w:ascii="Arial" w:hAnsi="Arial" w:cs="Arial"/>
          <w:szCs w:val="24"/>
        </w:rPr>
        <w:t xml:space="preserve">under which the previous policies were developed </w:t>
      </w:r>
      <w:r w:rsidR="00224588">
        <w:rPr>
          <w:rFonts w:ascii="Arial" w:hAnsi="Arial" w:cs="Arial"/>
          <w:szCs w:val="24"/>
        </w:rPr>
        <w:t>has evolved</w:t>
      </w:r>
      <w:r w:rsidR="00186CC7">
        <w:rPr>
          <w:rFonts w:ascii="Arial" w:hAnsi="Arial" w:cs="Arial"/>
          <w:szCs w:val="24"/>
        </w:rPr>
        <w:t xml:space="preserve"> (i.e.</w:t>
      </w:r>
      <w:r w:rsidR="002A3064">
        <w:rPr>
          <w:rFonts w:ascii="Arial" w:hAnsi="Arial" w:cs="Arial"/>
          <w:szCs w:val="24"/>
        </w:rPr>
        <w:t>,</w:t>
      </w:r>
      <w:r w:rsidR="00186CC7">
        <w:rPr>
          <w:rFonts w:ascii="Arial" w:hAnsi="Arial" w:cs="Arial"/>
          <w:szCs w:val="24"/>
        </w:rPr>
        <w:t xml:space="preserve"> the traditional scenario where the landowner is the full-time farmer, living on the farm is no longer as prevalent)</w:t>
      </w:r>
      <w:r w:rsidR="0044330E">
        <w:rPr>
          <w:rFonts w:ascii="Arial" w:hAnsi="Arial" w:cs="Arial"/>
          <w:szCs w:val="24"/>
        </w:rPr>
        <w:t>.  T</w:t>
      </w:r>
      <w:r w:rsidR="002A3064">
        <w:rPr>
          <w:rFonts w:ascii="Arial" w:hAnsi="Arial" w:cs="Arial"/>
          <w:szCs w:val="24"/>
        </w:rPr>
        <w:t xml:space="preserve">he 2017 polices </w:t>
      </w:r>
      <w:r w:rsidR="00F06D4A">
        <w:rPr>
          <w:rFonts w:ascii="Arial" w:hAnsi="Arial" w:cs="Arial"/>
          <w:szCs w:val="24"/>
        </w:rPr>
        <w:t xml:space="preserve">now </w:t>
      </w:r>
      <w:r w:rsidR="002A3064">
        <w:rPr>
          <w:rFonts w:ascii="Arial" w:hAnsi="Arial" w:cs="Arial"/>
          <w:szCs w:val="24"/>
        </w:rPr>
        <w:t xml:space="preserve">recognize </w:t>
      </w:r>
      <w:r w:rsidR="00F06D4A">
        <w:rPr>
          <w:rFonts w:ascii="Arial" w:hAnsi="Arial" w:cs="Arial"/>
          <w:szCs w:val="24"/>
        </w:rPr>
        <w:t>that the</w:t>
      </w:r>
      <w:r w:rsidR="00186CC7">
        <w:rPr>
          <w:rFonts w:ascii="Arial" w:hAnsi="Arial" w:cs="Arial"/>
          <w:szCs w:val="24"/>
        </w:rPr>
        <w:t xml:space="preserve"> farm owner </w:t>
      </w:r>
      <w:r w:rsidR="00F06D4A">
        <w:rPr>
          <w:rFonts w:ascii="Arial" w:hAnsi="Arial" w:cs="Arial"/>
          <w:szCs w:val="24"/>
        </w:rPr>
        <w:t>may not be</w:t>
      </w:r>
      <w:r w:rsidR="00186CC7">
        <w:rPr>
          <w:rFonts w:ascii="Arial" w:hAnsi="Arial" w:cs="Arial"/>
          <w:szCs w:val="24"/>
        </w:rPr>
        <w:t xml:space="preserve"> the primary farmer</w:t>
      </w:r>
      <w:r w:rsidR="008D18E4">
        <w:rPr>
          <w:rFonts w:ascii="Arial" w:hAnsi="Arial" w:cs="Arial"/>
          <w:szCs w:val="24"/>
        </w:rPr>
        <w:t xml:space="preserve"> </w:t>
      </w:r>
      <w:r w:rsidR="00186CC7">
        <w:rPr>
          <w:rFonts w:ascii="Arial" w:hAnsi="Arial" w:cs="Arial"/>
          <w:szCs w:val="24"/>
        </w:rPr>
        <w:t>living full-time on the farm.</w:t>
      </w:r>
    </w:p>
    <w:p w14:paraId="4934281B" w14:textId="0E8BB72C" w:rsidR="004A1C78" w:rsidRPr="000D432E" w:rsidRDefault="004A1C78" w:rsidP="00050BBB">
      <w:pPr>
        <w:tabs>
          <w:tab w:val="center" w:pos="4680"/>
          <w:tab w:val="right" w:pos="9360"/>
        </w:tabs>
        <w:spacing w:after="0"/>
        <w:rPr>
          <w:rFonts w:ascii="Arial" w:hAnsi="Arial" w:cs="Arial"/>
          <w:szCs w:val="24"/>
        </w:rPr>
      </w:pPr>
    </w:p>
    <w:p w14:paraId="1396A6CB" w14:textId="4A55C996" w:rsidR="00D151D5" w:rsidRPr="001D4DEC" w:rsidRDefault="00D151D5" w:rsidP="001D4DEC">
      <w:pPr>
        <w:jc w:val="both"/>
      </w:pPr>
      <w:r>
        <w:rPr>
          <w:rFonts w:ascii="Arial" w:hAnsi="Arial" w:cs="Arial"/>
          <w:szCs w:val="24"/>
        </w:rPr>
        <w:t>Staff notes that the 2017 NEP did introduce secondary dwelling units as a Permitted Use in the Escarpment Rural Area</w:t>
      </w:r>
      <w:r w:rsidR="009B5E18">
        <w:rPr>
          <w:rFonts w:ascii="Arial" w:hAnsi="Arial" w:cs="Arial"/>
          <w:szCs w:val="24"/>
        </w:rPr>
        <w:t xml:space="preserve">. Part 2 Development </w:t>
      </w:r>
      <w:r>
        <w:rPr>
          <w:rFonts w:ascii="Arial" w:hAnsi="Arial" w:cs="Arial"/>
          <w:szCs w:val="24"/>
        </w:rPr>
        <w:t xml:space="preserve">Criteria limit these uses to </w:t>
      </w:r>
      <w:r w:rsidR="009B5E18">
        <w:rPr>
          <w:rFonts w:ascii="Arial" w:hAnsi="Arial" w:cs="Arial"/>
          <w:szCs w:val="24"/>
        </w:rPr>
        <w:t xml:space="preserve">being situated </w:t>
      </w:r>
      <w:r>
        <w:rPr>
          <w:rFonts w:ascii="Arial" w:hAnsi="Arial" w:cs="Arial"/>
          <w:szCs w:val="24"/>
        </w:rPr>
        <w:t xml:space="preserve">within </w:t>
      </w:r>
      <w:r w:rsidR="00580C17">
        <w:rPr>
          <w:rFonts w:ascii="Arial" w:hAnsi="Arial" w:cs="Arial"/>
          <w:szCs w:val="24"/>
        </w:rPr>
        <w:t>a</w:t>
      </w:r>
      <w:r>
        <w:rPr>
          <w:rFonts w:ascii="Arial" w:hAnsi="Arial" w:cs="Arial"/>
          <w:szCs w:val="24"/>
        </w:rPr>
        <w:t xml:space="preserve"> single dwelling, or in an addition to a single dwelling (no detached u</w:t>
      </w:r>
      <w:r w:rsidR="00765A29">
        <w:rPr>
          <w:rFonts w:ascii="Arial" w:hAnsi="Arial" w:cs="Arial"/>
          <w:szCs w:val="24"/>
        </w:rPr>
        <w:t>nits)</w:t>
      </w:r>
      <w:r w:rsidR="009B5E18">
        <w:rPr>
          <w:rFonts w:ascii="Arial" w:hAnsi="Arial" w:cs="Arial"/>
          <w:szCs w:val="24"/>
        </w:rPr>
        <w:t>.</w:t>
      </w:r>
      <w:r w:rsidR="00ED4066">
        <w:rPr>
          <w:rFonts w:ascii="Arial" w:hAnsi="Arial" w:cs="Arial"/>
          <w:szCs w:val="24"/>
        </w:rPr>
        <w:t xml:space="preserve"> </w:t>
      </w:r>
      <w:r w:rsidR="002F2C17">
        <w:t xml:space="preserve">Although not the intended purpose </w:t>
      </w:r>
      <w:r w:rsidR="001D4DEC">
        <w:t xml:space="preserve">of </w:t>
      </w:r>
      <w:r w:rsidR="009B5E18">
        <w:t xml:space="preserve">the introduction of </w:t>
      </w:r>
      <w:r w:rsidR="001D4DEC">
        <w:t>secondary dwelling units</w:t>
      </w:r>
      <w:r w:rsidR="009B5E18">
        <w:t xml:space="preserve"> as a Permitted Use</w:t>
      </w:r>
      <w:r w:rsidR="001D4DEC">
        <w:t xml:space="preserve"> in the Escarpment Rural Area</w:t>
      </w:r>
      <w:r w:rsidR="002F2C17">
        <w:t xml:space="preserve">, staff notes that it would be possible for a secondary dwelling unit </w:t>
      </w:r>
      <w:r w:rsidR="001D4DEC">
        <w:t xml:space="preserve">to </w:t>
      </w:r>
      <w:r w:rsidR="002F2C17">
        <w:t>be used to accommodate farm labor on a more permanent basis tha</w:t>
      </w:r>
      <w:r w:rsidR="001D4DEC">
        <w:t>n</w:t>
      </w:r>
      <w:r w:rsidR="002F2C17">
        <w:t xml:space="preserve"> the policies for </w:t>
      </w:r>
      <w:r w:rsidR="00EE03F7">
        <w:t>dwelling units accessory to agriculture</w:t>
      </w:r>
      <w:r w:rsidR="002F2C17">
        <w:t xml:space="preserve"> currently permit.</w:t>
      </w:r>
      <w:r w:rsidR="00EE03F7">
        <w:t xml:space="preserve"> H</w:t>
      </w:r>
      <w:r w:rsidR="00ED4066">
        <w:rPr>
          <w:rFonts w:ascii="Arial" w:hAnsi="Arial" w:cs="Arial"/>
          <w:szCs w:val="24"/>
        </w:rPr>
        <w:t>ow</w:t>
      </w:r>
      <w:r w:rsidR="00765A29">
        <w:rPr>
          <w:rFonts w:ascii="Arial" w:hAnsi="Arial" w:cs="Arial"/>
          <w:szCs w:val="24"/>
        </w:rPr>
        <w:t>ever</w:t>
      </w:r>
      <w:r w:rsidR="00EE03F7">
        <w:rPr>
          <w:rFonts w:ascii="Arial" w:hAnsi="Arial" w:cs="Arial"/>
          <w:szCs w:val="24"/>
        </w:rPr>
        <w:t>,</w:t>
      </w:r>
      <w:r w:rsidR="00765A29">
        <w:rPr>
          <w:rFonts w:ascii="Arial" w:hAnsi="Arial" w:cs="Arial"/>
          <w:szCs w:val="24"/>
        </w:rPr>
        <w:t xml:space="preserve"> staff recognizes that it is unlikely that </w:t>
      </w:r>
      <w:r w:rsidR="00EE03F7">
        <w:rPr>
          <w:rFonts w:ascii="Arial" w:hAnsi="Arial" w:cs="Arial"/>
          <w:szCs w:val="24"/>
        </w:rPr>
        <w:t>secondary dwelling units</w:t>
      </w:r>
      <w:r w:rsidR="00730462">
        <w:rPr>
          <w:rFonts w:ascii="Arial" w:hAnsi="Arial" w:cs="Arial"/>
          <w:szCs w:val="24"/>
        </w:rPr>
        <w:t>, in the manner permitted</w:t>
      </w:r>
      <w:r w:rsidR="009B5E18">
        <w:rPr>
          <w:rFonts w:ascii="Arial" w:hAnsi="Arial" w:cs="Arial"/>
          <w:szCs w:val="24"/>
        </w:rPr>
        <w:t xml:space="preserve"> (</w:t>
      </w:r>
      <w:r w:rsidR="00580C17">
        <w:rPr>
          <w:rFonts w:ascii="Arial" w:hAnsi="Arial" w:cs="Arial"/>
          <w:szCs w:val="24"/>
        </w:rPr>
        <w:t>no detached units)</w:t>
      </w:r>
      <w:r w:rsidR="00730462">
        <w:rPr>
          <w:rFonts w:ascii="Arial" w:hAnsi="Arial" w:cs="Arial"/>
          <w:szCs w:val="24"/>
        </w:rPr>
        <w:t xml:space="preserve">, are </w:t>
      </w:r>
      <w:r w:rsidR="00580C17">
        <w:rPr>
          <w:rFonts w:ascii="Arial" w:hAnsi="Arial" w:cs="Arial"/>
          <w:szCs w:val="24"/>
        </w:rPr>
        <w:t>desirable options</w:t>
      </w:r>
      <w:r w:rsidR="00730462">
        <w:rPr>
          <w:rFonts w:ascii="Arial" w:hAnsi="Arial" w:cs="Arial"/>
          <w:szCs w:val="24"/>
        </w:rPr>
        <w:t xml:space="preserve"> for farm labour.</w:t>
      </w:r>
      <w:r w:rsidR="00ED4066">
        <w:rPr>
          <w:rFonts w:ascii="Arial" w:hAnsi="Arial" w:cs="Arial"/>
          <w:szCs w:val="24"/>
        </w:rPr>
        <w:t xml:space="preserve"> </w:t>
      </w:r>
    </w:p>
    <w:p w14:paraId="5E08706C" w14:textId="4C3A8544" w:rsidR="00F40351" w:rsidRDefault="00F91391" w:rsidP="00A627A9">
      <w:pPr>
        <w:pStyle w:val="NoSpacing"/>
        <w:spacing w:line="276" w:lineRule="auto"/>
      </w:pPr>
      <w:r w:rsidRPr="000E4B3D">
        <w:rPr>
          <w:rFonts w:ascii="Arial" w:eastAsia="Calibri" w:hAnsi="Arial" w:cs="Arial"/>
          <w:color w:val="000000"/>
          <w:szCs w:val="24"/>
        </w:rPr>
        <w:t>As identified in Table 1 above, t</w:t>
      </w:r>
      <w:r w:rsidR="00EB7EA5" w:rsidRPr="000E4B3D">
        <w:rPr>
          <w:rFonts w:ascii="Arial" w:eastAsia="Calibri" w:hAnsi="Arial" w:cs="Arial"/>
          <w:color w:val="000000"/>
          <w:szCs w:val="24"/>
        </w:rPr>
        <w:t xml:space="preserve">here have been </w:t>
      </w:r>
      <w:r w:rsidR="00F40351">
        <w:rPr>
          <w:rFonts w:ascii="Arial" w:eastAsia="Calibri" w:hAnsi="Arial" w:cs="Arial"/>
          <w:color w:val="000000"/>
          <w:szCs w:val="24"/>
        </w:rPr>
        <w:t>ten</w:t>
      </w:r>
      <w:r w:rsidR="00EB7EA5" w:rsidRPr="000E4B3D">
        <w:rPr>
          <w:rFonts w:ascii="Arial" w:eastAsia="Calibri" w:hAnsi="Arial" w:cs="Arial"/>
          <w:color w:val="000000"/>
          <w:szCs w:val="24"/>
        </w:rPr>
        <w:t xml:space="preserve"> </w:t>
      </w:r>
      <w:r w:rsidRPr="000E4B3D">
        <w:rPr>
          <w:rFonts w:ascii="Arial" w:eastAsia="Calibri" w:hAnsi="Arial" w:cs="Arial"/>
          <w:color w:val="000000"/>
          <w:szCs w:val="24"/>
        </w:rPr>
        <w:t>DPAs</w:t>
      </w:r>
      <w:r w:rsidR="00EB7EA5" w:rsidRPr="000E4B3D">
        <w:rPr>
          <w:rFonts w:ascii="Arial" w:eastAsia="Calibri" w:hAnsi="Arial" w:cs="Arial"/>
          <w:color w:val="000000"/>
          <w:szCs w:val="24"/>
        </w:rPr>
        <w:t xml:space="preserve"> for </w:t>
      </w:r>
      <w:r w:rsidR="00714431">
        <w:rPr>
          <w:rFonts w:ascii="Arial" w:eastAsia="Calibri" w:hAnsi="Arial" w:cs="Arial"/>
          <w:color w:val="000000"/>
          <w:szCs w:val="24"/>
        </w:rPr>
        <w:t>d</w:t>
      </w:r>
      <w:r w:rsidR="00EB7EA5" w:rsidRPr="000E4B3D">
        <w:rPr>
          <w:rFonts w:ascii="Arial" w:eastAsia="Calibri" w:hAnsi="Arial" w:cs="Arial"/>
          <w:color w:val="000000"/>
          <w:szCs w:val="24"/>
        </w:rPr>
        <w:t xml:space="preserve">welling </w:t>
      </w:r>
      <w:proofErr w:type="gramStart"/>
      <w:r w:rsidR="00714431">
        <w:rPr>
          <w:rFonts w:ascii="Arial" w:eastAsia="Calibri" w:hAnsi="Arial" w:cs="Arial"/>
          <w:color w:val="000000"/>
          <w:szCs w:val="24"/>
        </w:rPr>
        <w:t>u</w:t>
      </w:r>
      <w:r w:rsidR="00EB7EA5" w:rsidRPr="000E4B3D">
        <w:rPr>
          <w:rFonts w:ascii="Arial" w:eastAsia="Calibri" w:hAnsi="Arial" w:cs="Arial"/>
          <w:color w:val="000000"/>
          <w:szCs w:val="24"/>
        </w:rPr>
        <w:t>nits</w:t>
      </w:r>
      <w:proofErr w:type="gramEnd"/>
      <w:r w:rsidR="00EB7EA5" w:rsidRPr="000E4B3D">
        <w:rPr>
          <w:rFonts w:ascii="Arial" w:eastAsia="Calibri" w:hAnsi="Arial" w:cs="Arial"/>
          <w:color w:val="000000"/>
          <w:szCs w:val="24"/>
        </w:rPr>
        <w:t xml:space="preserve"> </w:t>
      </w:r>
      <w:r w:rsidR="00714431">
        <w:rPr>
          <w:rFonts w:ascii="Arial" w:eastAsia="Calibri" w:hAnsi="Arial" w:cs="Arial"/>
          <w:color w:val="000000"/>
          <w:szCs w:val="24"/>
        </w:rPr>
        <w:t>a</w:t>
      </w:r>
      <w:r w:rsidR="00EB7EA5" w:rsidRPr="000E4B3D">
        <w:rPr>
          <w:rFonts w:ascii="Arial" w:eastAsia="Calibri" w:hAnsi="Arial" w:cs="Arial"/>
          <w:color w:val="000000"/>
          <w:szCs w:val="24"/>
        </w:rPr>
        <w:t xml:space="preserve">ccessory to </w:t>
      </w:r>
      <w:r w:rsidR="00714431">
        <w:rPr>
          <w:rFonts w:ascii="Arial" w:eastAsia="Calibri" w:hAnsi="Arial" w:cs="Arial"/>
          <w:color w:val="000000"/>
          <w:szCs w:val="24"/>
        </w:rPr>
        <w:t>a</w:t>
      </w:r>
      <w:r w:rsidR="00EB7EA5" w:rsidRPr="000E4B3D">
        <w:rPr>
          <w:rFonts w:ascii="Arial" w:eastAsia="Calibri" w:hAnsi="Arial" w:cs="Arial"/>
          <w:color w:val="000000"/>
          <w:szCs w:val="24"/>
        </w:rPr>
        <w:t>gricultur</w:t>
      </w:r>
      <w:r w:rsidR="00F40351">
        <w:rPr>
          <w:rFonts w:ascii="Arial" w:eastAsia="Calibri" w:hAnsi="Arial" w:cs="Arial"/>
          <w:color w:val="000000"/>
          <w:szCs w:val="24"/>
        </w:rPr>
        <w:t>al uses</w:t>
      </w:r>
      <w:r w:rsidR="00EB7EA5" w:rsidRPr="000E4B3D">
        <w:rPr>
          <w:rFonts w:ascii="Arial" w:eastAsia="Calibri" w:hAnsi="Arial" w:cs="Arial"/>
          <w:color w:val="000000"/>
          <w:szCs w:val="24"/>
        </w:rPr>
        <w:t xml:space="preserve"> since </w:t>
      </w:r>
      <w:r w:rsidR="00D7159C" w:rsidRPr="000E4B3D">
        <w:rPr>
          <w:rFonts w:ascii="Arial" w:eastAsia="Calibri" w:hAnsi="Arial" w:cs="Arial"/>
          <w:color w:val="000000"/>
          <w:szCs w:val="24"/>
        </w:rPr>
        <w:t xml:space="preserve">June 2017. </w:t>
      </w:r>
      <w:r w:rsidR="009E526F" w:rsidRPr="000E4B3D">
        <w:rPr>
          <w:rFonts w:ascii="Arial" w:eastAsia="Calibri" w:hAnsi="Arial" w:cs="Arial"/>
          <w:color w:val="000000"/>
          <w:szCs w:val="24"/>
        </w:rPr>
        <w:t xml:space="preserve">Three </w:t>
      </w:r>
      <w:r w:rsidR="00D7159C" w:rsidRPr="000E4B3D">
        <w:rPr>
          <w:rFonts w:ascii="Arial" w:eastAsia="Calibri" w:hAnsi="Arial" w:cs="Arial"/>
          <w:color w:val="000000"/>
          <w:szCs w:val="24"/>
        </w:rPr>
        <w:t xml:space="preserve">of these were “re-applications” to renew </w:t>
      </w:r>
      <w:r w:rsidRPr="000E4B3D">
        <w:rPr>
          <w:rFonts w:ascii="Arial" w:eastAsia="Calibri" w:hAnsi="Arial" w:cs="Arial"/>
          <w:color w:val="000000"/>
          <w:szCs w:val="24"/>
        </w:rPr>
        <w:t>a previous Permit to allow continued use of the temporary dwelling</w:t>
      </w:r>
      <w:r w:rsidR="00DB0A17" w:rsidRPr="000E4B3D">
        <w:rPr>
          <w:rFonts w:ascii="Arial" w:eastAsia="Calibri" w:hAnsi="Arial" w:cs="Arial"/>
          <w:color w:val="000000"/>
          <w:szCs w:val="24"/>
        </w:rPr>
        <w:t xml:space="preserve"> after a three-year time frame</w:t>
      </w:r>
      <w:r w:rsidR="00D7159C" w:rsidRPr="000E4B3D">
        <w:rPr>
          <w:rFonts w:ascii="Arial" w:eastAsia="Calibri" w:hAnsi="Arial" w:cs="Arial"/>
          <w:color w:val="000000"/>
          <w:szCs w:val="24"/>
        </w:rPr>
        <w:t xml:space="preserve">. </w:t>
      </w:r>
      <w:r w:rsidR="00164EFC" w:rsidRPr="000E4B3D">
        <w:rPr>
          <w:rFonts w:ascii="Arial" w:eastAsia="Calibri" w:hAnsi="Arial" w:cs="Arial"/>
          <w:color w:val="000000"/>
          <w:szCs w:val="24"/>
        </w:rPr>
        <w:t xml:space="preserve">Of the </w:t>
      </w:r>
      <w:r w:rsidR="00F40351">
        <w:rPr>
          <w:rFonts w:ascii="Arial" w:eastAsia="Calibri" w:hAnsi="Arial" w:cs="Arial"/>
          <w:color w:val="000000"/>
          <w:szCs w:val="24"/>
        </w:rPr>
        <w:t>ten</w:t>
      </w:r>
      <w:r w:rsidR="00164EFC" w:rsidRPr="000E4B3D">
        <w:rPr>
          <w:rFonts w:ascii="Arial" w:eastAsia="Calibri" w:hAnsi="Arial" w:cs="Arial"/>
          <w:color w:val="000000"/>
          <w:szCs w:val="24"/>
        </w:rPr>
        <w:t xml:space="preserve"> applications, four were Director’s approvals an</w:t>
      </w:r>
      <w:r w:rsidR="00F40351">
        <w:rPr>
          <w:rFonts w:ascii="Arial" w:eastAsia="Calibri" w:hAnsi="Arial" w:cs="Arial"/>
          <w:color w:val="000000"/>
          <w:szCs w:val="24"/>
        </w:rPr>
        <w:t>d three</w:t>
      </w:r>
      <w:r w:rsidR="00DB0A17" w:rsidRPr="000E4B3D">
        <w:rPr>
          <w:rFonts w:ascii="Arial" w:eastAsia="Calibri" w:hAnsi="Arial" w:cs="Arial"/>
          <w:color w:val="000000"/>
          <w:szCs w:val="24"/>
        </w:rPr>
        <w:t xml:space="preserve"> </w:t>
      </w:r>
      <w:r w:rsidR="00850580" w:rsidRPr="000E4B3D">
        <w:rPr>
          <w:rFonts w:ascii="Arial" w:eastAsia="Calibri" w:hAnsi="Arial" w:cs="Arial"/>
          <w:color w:val="000000"/>
          <w:szCs w:val="24"/>
        </w:rPr>
        <w:t xml:space="preserve">were Commission approvals. Of the applications </w:t>
      </w:r>
      <w:r w:rsidR="00C12062" w:rsidRPr="000E4B3D">
        <w:rPr>
          <w:rFonts w:ascii="Arial" w:eastAsia="Calibri" w:hAnsi="Arial" w:cs="Arial"/>
          <w:color w:val="000000"/>
          <w:szCs w:val="24"/>
        </w:rPr>
        <w:t>that have completed the DPA process</w:t>
      </w:r>
      <w:r w:rsidR="00555330">
        <w:rPr>
          <w:rFonts w:ascii="Arial" w:eastAsia="Calibri" w:hAnsi="Arial" w:cs="Arial"/>
          <w:color w:val="000000"/>
          <w:szCs w:val="24"/>
        </w:rPr>
        <w:t xml:space="preserve"> (since June 2017)</w:t>
      </w:r>
      <w:r w:rsidR="00C12062" w:rsidRPr="000E4B3D">
        <w:rPr>
          <w:rFonts w:ascii="Arial" w:eastAsia="Calibri" w:hAnsi="Arial" w:cs="Arial"/>
          <w:color w:val="000000"/>
          <w:szCs w:val="24"/>
        </w:rPr>
        <w:t xml:space="preserve">, </w:t>
      </w:r>
      <w:r w:rsidR="00F40351">
        <w:rPr>
          <w:rFonts w:ascii="Arial" w:eastAsia="Calibri" w:hAnsi="Arial" w:cs="Arial"/>
          <w:color w:val="000000"/>
          <w:szCs w:val="24"/>
        </w:rPr>
        <w:t xml:space="preserve"> there has been one DPA that NEC staff has recommended refusal for, </w:t>
      </w:r>
      <w:r w:rsidR="00F40351">
        <w:t>on the basis that the application was premature as the existing agricultural use was established as the primary use of the property, and a secondary dwelling unit for farm labour may only be permitted where accessory to agriculture, and, additionally, the dwelling unit was proposed within an existing detached garage</w:t>
      </w:r>
      <w:r w:rsidR="00A627A9">
        <w:t xml:space="preserve">. The Commission </w:t>
      </w:r>
      <w:r w:rsidR="00A627A9" w:rsidRPr="007A639E">
        <w:rPr>
          <w:iCs/>
          <w:u w:val="single"/>
        </w:rPr>
        <w:t>supported</w:t>
      </w:r>
      <w:r w:rsidR="00A627A9">
        <w:rPr>
          <w:iCs/>
        </w:rPr>
        <w:t xml:space="preserve"> the a</w:t>
      </w:r>
      <w:r w:rsidR="00A627A9" w:rsidRPr="007A639E">
        <w:rPr>
          <w:iCs/>
        </w:rPr>
        <w:t>pplication</w:t>
      </w:r>
      <w:r w:rsidR="00A627A9">
        <w:rPr>
          <w:iCs/>
        </w:rPr>
        <w:t xml:space="preserve"> with the</w:t>
      </w:r>
      <w:r w:rsidR="00A627A9" w:rsidRPr="007A639E">
        <w:rPr>
          <w:iCs/>
        </w:rPr>
        <w:t xml:space="preserve"> appropriate Conditions of Approval </w:t>
      </w:r>
      <w:r w:rsidR="00A627A9">
        <w:rPr>
          <w:iCs/>
        </w:rPr>
        <w:t>prepared</w:t>
      </w:r>
      <w:r w:rsidR="00A627A9" w:rsidRPr="007A639E">
        <w:rPr>
          <w:iCs/>
        </w:rPr>
        <w:t xml:space="preserve"> by staff</w:t>
      </w:r>
      <w:r w:rsidR="00A627A9">
        <w:rPr>
          <w:iCs/>
        </w:rPr>
        <w:t xml:space="preserve"> (including a three-year time limit on the use). </w:t>
      </w:r>
    </w:p>
    <w:p w14:paraId="04CDC60A" w14:textId="77777777" w:rsidR="00F40351" w:rsidRDefault="00F40351" w:rsidP="00F40351">
      <w:pPr>
        <w:pStyle w:val="NoSpacing"/>
      </w:pPr>
    </w:p>
    <w:p w14:paraId="255C6788" w14:textId="16216A11" w:rsidR="0065004E" w:rsidRPr="00C9123B" w:rsidRDefault="007116F9" w:rsidP="00F557FC">
      <w:pPr>
        <w:spacing w:after="0"/>
        <w:rPr>
          <w:rFonts w:ascii="Times New Roman" w:eastAsia="Times New Roman" w:hAnsi="Times New Roman" w:cs="Times New Roman"/>
          <w:szCs w:val="24"/>
          <w:lang w:eastAsia="en-CA"/>
        </w:rPr>
      </w:pPr>
      <w:r>
        <w:rPr>
          <w:lang w:val="en-US"/>
        </w:rPr>
        <w:t>Progress has been made</w:t>
      </w:r>
      <w:r w:rsidR="00297500">
        <w:rPr>
          <w:lang w:val="en-US"/>
        </w:rPr>
        <w:t xml:space="preserve"> in the d</w:t>
      </w:r>
      <w:r w:rsidR="007A0FF7">
        <w:rPr>
          <w:lang w:val="en-US"/>
        </w:rPr>
        <w:t>evelopment of guidance material for Dwelling Units Accessory to Agriculture</w:t>
      </w:r>
      <w:r w:rsidR="00297500">
        <w:rPr>
          <w:lang w:val="en-US"/>
        </w:rPr>
        <w:t xml:space="preserve">. </w:t>
      </w:r>
      <w:r w:rsidR="007A0FF7">
        <w:rPr>
          <w:lang w:val="en-US"/>
        </w:rPr>
        <w:t>A</w:t>
      </w:r>
      <w:r w:rsidR="005F01C3">
        <w:rPr>
          <w:lang w:val="en-US"/>
        </w:rPr>
        <w:t xml:space="preserve"> </w:t>
      </w:r>
      <w:r w:rsidR="00C9123B">
        <w:rPr>
          <w:lang w:val="en-US"/>
        </w:rPr>
        <w:t>Commission</w:t>
      </w:r>
      <w:r w:rsidR="00372CB5" w:rsidRPr="00C9123B">
        <w:rPr>
          <w:lang w:val="en-US"/>
        </w:rPr>
        <w:t xml:space="preserve"> </w:t>
      </w:r>
      <w:r w:rsidR="00C9123B" w:rsidRPr="00C9123B">
        <w:rPr>
          <w:rFonts w:eastAsiaTheme="minorEastAsia" w:hAnsi="Calibri"/>
          <w:color w:val="000000" w:themeColor="text1"/>
          <w:kern w:val="24"/>
          <w:szCs w:val="24"/>
          <w:lang w:eastAsia="en-CA"/>
        </w:rPr>
        <w:t>Working Group</w:t>
      </w:r>
      <w:r w:rsidR="005F01C3">
        <w:rPr>
          <w:rFonts w:eastAsiaTheme="minorEastAsia" w:hAnsi="Calibri"/>
          <w:color w:val="000000" w:themeColor="text1"/>
          <w:kern w:val="24"/>
          <w:szCs w:val="24"/>
          <w:lang w:eastAsia="en-CA"/>
        </w:rPr>
        <w:t xml:space="preserve"> </w:t>
      </w:r>
      <w:r w:rsidR="007A0FF7">
        <w:rPr>
          <w:rFonts w:eastAsiaTheme="minorEastAsia" w:hAnsi="Calibri"/>
          <w:color w:val="000000" w:themeColor="text1"/>
          <w:kern w:val="24"/>
          <w:szCs w:val="24"/>
          <w:lang w:eastAsia="en-CA"/>
        </w:rPr>
        <w:t xml:space="preserve">was formed </w:t>
      </w:r>
      <w:r w:rsidR="003757CA">
        <w:rPr>
          <w:rFonts w:eastAsiaTheme="minorEastAsia" w:hAnsi="Calibri"/>
          <w:color w:val="000000" w:themeColor="text1"/>
          <w:kern w:val="24"/>
          <w:szCs w:val="24"/>
          <w:lang w:eastAsia="en-CA"/>
        </w:rPr>
        <w:t>as part of the process. The Working Group members were</w:t>
      </w:r>
      <w:r w:rsidR="00C9123B" w:rsidRPr="00C9123B">
        <w:rPr>
          <w:rFonts w:eastAsiaTheme="minorEastAsia" w:hAnsi="Calibri"/>
          <w:color w:val="000000" w:themeColor="text1"/>
          <w:kern w:val="24"/>
          <w:szCs w:val="24"/>
          <w:lang w:eastAsia="en-CA"/>
        </w:rPr>
        <w:t xml:space="preserve"> selected from a volunteer list of </w:t>
      </w:r>
      <w:r w:rsidR="00C9123B">
        <w:rPr>
          <w:rFonts w:eastAsiaTheme="minorEastAsia" w:hAnsi="Calibri"/>
          <w:color w:val="000000" w:themeColor="text1"/>
          <w:kern w:val="24"/>
          <w:szCs w:val="24"/>
          <w:lang w:eastAsia="en-CA"/>
        </w:rPr>
        <w:t xml:space="preserve">member </w:t>
      </w:r>
      <w:r w:rsidR="00C9123B" w:rsidRPr="00C9123B">
        <w:rPr>
          <w:rFonts w:eastAsiaTheme="minorEastAsia" w:hAnsi="Calibri"/>
          <w:color w:val="000000" w:themeColor="text1"/>
          <w:kern w:val="24"/>
          <w:szCs w:val="24"/>
          <w:lang w:eastAsia="en-CA"/>
        </w:rPr>
        <w:t>candidates and appointed by the Chair</w:t>
      </w:r>
      <w:r w:rsidR="005F01C3">
        <w:rPr>
          <w:rFonts w:eastAsiaTheme="minorEastAsia" w:hAnsi="Calibri"/>
          <w:color w:val="000000" w:themeColor="text1"/>
          <w:kern w:val="24"/>
          <w:szCs w:val="24"/>
          <w:lang w:eastAsia="en-CA"/>
        </w:rPr>
        <w:t xml:space="preserve">. The role of the Working Group </w:t>
      </w:r>
      <w:r w:rsidR="00EA6C10">
        <w:rPr>
          <w:rFonts w:eastAsiaTheme="minorEastAsia" w:hAnsi="Calibri"/>
          <w:color w:val="000000" w:themeColor="text1"/>
          <w:kern w:val="24"/>
          <w:szCs w:val="24"/>
          <w:lang w:eastAsia="en-CA"/>
        </w:rPr>
        <w:t>includes</w:t>
      </w:r>
      <w:r w:rsidR="00C9123B" w:rsidRPr="00C9123B">
        <w:rPr>
          <w:rFonts w:eastAsiaTheme="minorEastAsia" w:hAnsi="Calibri"/>
          <w:color w:val="000000" w:themeColor="text1"/>
          <w:kern w:val="24"/>
          <w:szCs w:val="24"/>
          <w:lang w:eastAsia="en-CA"/>
        </w:rPr>
        <w:t xml:space="preserve"> the review of information</w:t>
      </w:r>
      <w:r w:rsidR="00EA6C10">
        <w:rPr>
          <w:rFonts w:eastAsiaTheme="minorEastAsia" w:hAnsi="Calibri"/>
          <w:color w:val="000000" w:themeColor="text1"/>
          <w:kern w:val="24"/>
          <w:szCs w:val="24"/>
          <w:lang w:eastAsia="en-CA"/>
        </w:rPr>
        <w:t xml:space="preserve"> presented by staff and </w:t>
      </w:r>
      <w:r w:rsidR="00C9123B" w:rsidRPr="00C9123B">
        <w:rPr>
          <w:rFonts w:eastAsiaTheme="minorEastAsia" w:hAnsi="Calibri"/>
          <w:color w:val="000000" w:themeColor="text1"/>
          <w:kern w:val="24"/>
          <w:szCs w:val="24"/>
          <w:lang w:eastAsia="en-CA"/>
        </w:rPr>
        <w:t xml:space="preserve">providing input and advising NEC staff during the development of </w:t>
      </w:r>
      <w:r w:rsidR="003E10B9">
        <w:rPr>
          <w:rFonts w:eastAsiaTheme="minorEastAsia" w:hAnsi="Calibri"/>
          <w:color w:val="000000" w:themeColor="text1"/>
          <w:kern w:val="24"/>
          <w:szCs w:val="24"/>
          <w:lang w:eastAsia="en-CA"/>
        </w:rPr>
        <w:t>the guidance material</w:t>
      </w:r>
      <w:r w:rsidR="00C9123B" w:rsidRPr="00C9123B">
        <w:rPr>
          <w:rFonts w:eastAsiaTheme="minorEastAsia" w:hAnsi="Calibri"/>
          <w:color w:val="000000" w:themeColor="text1"/>
          <w:kern w:val="24"/>
          <w:szCs w:val="24"/>
          <w:lang w:eastAsia="en-CA"/>
        </w:rPr>
        <w:t xml:space="preserve"> in relation to their knowledge of or interest in the topic area</w:t>
      </w:r>
      <w:r w:rsidR="00372CB5">
        <w:rPr>
          <w:lang w:val="en-US"/>
        </w:rPr>
        <w:t>. In considering the policies for dwelling units accessory to agricultural uses</w:t>
      </w:r>
      <w:r w:rsidR="00FF6EC7">
        <w:rPr>
          <w:lang w:val="en-US"/>
        </w:rPr>
        <w:t>, t</w:t>
      </w:r>
      <w:r w:rsidR="00372CB5">
        <w:rPr>
          <w:lang w:val="en-US"/>
        </w:rPr>
        <w:t xml:space="preserve">he Working Group </w:t>
      </w:r>
      <w:r w:rsidR="00E87E12">
        <w:rPr>
          <w:lang w:val="en-US"/>
        </w:rPr>
        <w:t>ident</w:t>
      </w:r>
      <w:r w:rsidR="00C71E8F">
        <w:rPr>
          <w:lang w:val="en-US"/>
        </w:rPr>
        <w:t>ified a number of</w:t>
      </w:r>
      <w:r w:rsidR="00E87E12">
        <w:rPr>
          <w:lang w:val="en-US"/>
        </w:rPr>
        <w:t xml:space="preserve"> areas </w:t>
      </w:r>
      <w:r w:rsidR="00E178FB">
        <w:rPr>
          <w:lang w:val="en-US"/>
        </w:rPr>
        <w:t xml:space="preserve">that might be addressed through guidelines as well as </w:t>
      </w:r>
      <w:r w:rsidR="007A11E1">
        <w:rPr>
          <w:lang w:val="en-US"/>
        </w:rPr>
        <w:t>those</w:t>
      </w:r>
      <w:r w:rsidR="00C71E8F">
        <w:rPr>
          <w:lang w:val="en-US"/>
        </w:rPr>
        <w:t xml:space="preserve"> </w:t>
      </w:r>
      <w:r w:rsidR="005414FC">
        <w:rPr>
          <w:lang w:val="en-US"/>
        </w:rPr>
        <w:t>related to</w:t>
      </w:r>
      <w:r w:rsidR="00B603BD">
        <w:rPr>
          <w:lang w:val="en-US"/>
        </w:rPr>
        <w:t xml:space="preserve"> process efficiencies</w:t>
      </w:r>
      <w:r w:rsidR="00C71E8F">
        <w:rPr>
          <w:lang w:val="en-US"/>
        </w:rPr>
        <w:t xml:space="preserve">, that would improve the implementation of the existing NEP policies respecting these uses. </w:t>
      </w:r>
    </w:p>
    <w:p w14:paraId="46B447E9" w14:textId="77777777" w:rsidR="0065004E" w:rsidRDefault="0065004E" w:rsidP="00F557FC">
      <w:pPr>
        <w:spacing w:after="0"/>
        <w:rPr>
          <w:lang w:val="en-US"/>
        </w:rPr>
      </w:pPr>
    </w:p>
    <w:p w14:paraId="7E5E1523" w14:textId="77777777" w:rsidR="001F5DEA" w:rsidRDefault="001F5DEA" w:rsidP="0065004E">
      <w:pPr>
        <w:spacing w:after="0"/>
        <w:rPr>
          <w:lang w:val="en-US"/>
        </w:rPr>
      </w:pPr>
    </w:p>
    <w:p w14:paraId="7DD45295" w14:textId="77777777" w:rsidR="001F5DEA" w:rsidRDefault="001F5DEA" w:rsidP="0065004E">
      <w:pPr>
        <w:spacing w:after="0"/>
        <w:rPr>
          <w:lang w:val="en-US"/>
        </w:rPr>
      </w:pPr>
    </w:p>
    <w:p w14:paraId="381A6D42" w14:textId="7A5DDC2B" w:rsidR="00062423" w:rsidRPr="000F088B" w:rsidRDefault="000E4B3D" w:rsidP="0065004E">
      <w:pPr>
        <w:spacing w:after="0"/>
        <w:rPr>
          <w:lang w:val="en-US"/>
        </w:rPr>
      </w:pPr>
      <w:r>
        <w:rPr>
          <w:lang w:val="en-US"/>
        </w:rPr>
        <w:lastRenderedPageBreak/>
        <w:t xml:space="preserve">Commission </w:t>
      </w:r>
      <w:r w:rsidR="008F1F9D">
        <w:rPr>
          <w:lang w:val="en-US"/>
        </w:rPr>
        <w:t>Working Group discussion summary points:</w:t>
      </w:r>
    </w:p>
    <w:p w14:paraId="403EE6FB" w14:textId="4108DC53" w:rsidR="0013430F" w:rsidRPr="00D9300B" w:rsidRDefault="0013430F" w:rsidP="00D9300B">
      <w:pPr>
        <w:autoSpaceDE w:val="0"/>
        <w:autoSpaceDN w:val="0"/>
        <w:adjustRightInd w:val="0"/>
        <w:spacing w:after="0" w:line="240" w:lineRule="auto"/>
        <w:rPr>
          <w:rFonts w:ascii="Arial" w:eastAsia="Calibri" w:hAnsi="Arial" w:cs="Arial"/>
          <w:color w:val="000000"/>
          <w:szCs w:val="24"/>
        </w:rPr>
      </w:pPr>
    </w:p>
    <w:p w14:paraId="01DE088A" w14:textId="0196B1F7" w:rsidR="00CD4F42" w:rsidRPr="00CD4F42" w:rsidRDefault="00CD4F42" w:rsidP="00160C26">
      <w:pPr>
        <w:numPr>
          <w:ilvl w:val="0"/>
          <w:numId w:val="14"/>
        </w:numPr>
        <w:spacing w:after="100" w:afterAutospacing="1"/>
        <w:ind w:left="714" w:hanging="357"/>
        <w:contextualSpacing/>
        <w:rPr>
          <w:lang w:val="en-US"/>
        </w:rPr>
      </w:pPr>
      <w:r>
        <w:rPr>
          <w:lang w:val="en-US"/>
        </w:rPr>
        <w:t>The need to re-apply for a DPA may be onerous. Should consider longer permit expiry dates coupled with a more efficient modified and streamlined DP</w:t>
      </w:r>
      <w:r w:rsidR="00CE55F2">
        <w:rPr>
          <w:lang w:val="en-US"/>
        </w:rPr>
        <w:t>A</w:t>
      </w:r>
      <w:r>
        <w:rPr>
          <w:lang w:val="en-US"/>
        </w:rPr>
        <w:t xml:space="preserve"> process. </w:t>
      </w:r>
      <w:r w:rsidR="008F1F9D">
        <w:rPr>
          <w:lang w:val="en-US"/>
        </w:rPr>
        <w:t xml:space="preserve">A </w:t>
      </w:r>
      <w:r>
        <w:rPr>
          <w:lang w:val="en-US"/>
        </w:rPr>
        <w:t>self-registration process, or “short-form”</w:t>
      </w:r>
      <w:r w:rsidR="008F1F9D">
        <w:rPr>
          <w:lang w:val="en-US"/>
        </w:rPr>
        <w:t xml:space="preserve"> application would</w:t>
      </w:r>
      <w:r>
        <w:rPr>
          <w:lang w:val="en-US"/>
        </w:rPr>
        <w:t xml:space="preserve"> </w:t>
      </w:r>
      <w:r w:rsidRPr="00CD4F42">
        <w:rPr>
          <w:lang w:val="en-US"/>
        </w:rPr>
        <w:t xml:space="preserve">reduce barriers and allow </w:t>
      </w:r>
      <w:r w:rsidR="008F1F9D">
        <w:rPr>
          <w:lang w:val="en-US"/>
        </w:rPr>
        <w:t xml:space="preserve">for </w:t>
      </w:r>
      <w:r>
        <w:rPr>
          <w:lang w:val="en-US"/>
        </w:rPr>
        <w:t>a more</w:t>
      </w:r>
      <w:r w:rsidRPr="00CD4F42">
        <w:rPr>
          <w:lang w:val="en-US"/>
        </w:rPr>
        <w:t xml:space="preserve"> proactive</w:t>
      </w:r>
      <w:r>
        <w:rPr>
          <w:lang w:val="en-US"/>
        </w:rPr>
        <w:t xml:space="preserve"> approach</w:t>
      </w:r>
      <w:r w:rsidRPr="00CD4F42">
        <w:rPr>
          <w:lang w:val="en-US"/>
        </w:rPr>
        <w:t>.</w:t>
      </w:r>
    </w:p>
    <w:p w14:paraId="3DFA529A" w14:textId="77777777" w:rsidR="00CD4F42" w:rsidRDefault="00CD4F42" w:rsidP="00160C26">
      <w:pPr>
        <w:numPr>
          <w:ilvl w:val="0"/>
          <w:numId w:val="14"/>
        </w:numPr>
        <w:spacing w:after="100" w:afterAutospacing="1"/>
        <w:ind w:left="714" w:hanging="357"/>
        <w:contextualSpacing/>
        <w:rPr>
          <w:lang w:val="en-US"/>
        </w:rPr>
      </w:pPr>
      <w:r>
        <w:rPr>
          <w:lang w:val="en-US"/>
        </w:rPr>
        <w:t xml:space="preserve">There is no active compliance auditing of these uses, the compliance system is generally a complaint-based system. Suggest system of auditing. </w:t>
      </w:r>
    </w:p>
    <w:p w14:paraId="3F432513" w14:textId="228216A4" w:rsidR="001259D1" w:rsidRDefault="00CD4F42" w:rsidP="00160C26">
      <w:pPr>
        <w:pStyle w:val="ListParagraph"/>
        <w:numPr>
          <w:ilvl w:val="0"/>
          <w:numId w:val="14"/>
        </w:numPr>
        <w:spacing w:after="100" w:afterAutospacing="1"/>
        <w:ind w:left="714" w:hanging="357"/>
        <w:rPr>
          <w:lang w:val="en-US"/>
        </w:rPr>
      </w:pPr>
      <w:r w:rsidRPr="001259D1">
        <w:rPr>
          <w:lang w:val="en-US"/>
        </w:rPr>
        <w:t>Farm succession planning (next generation)</w:t>
      </w:r>
      <w:r w:rsidR="005F16E8">
        <w:rPr>
          <w:lang w:val="en-US"/>
        </w:rPr>
        <w:t>,</w:t>
      </w:r>
      <w:r w:rsidRPr="001259D1">
        <w:rPr>
          <w:lang w:val="en-US"/>
        </w:rPr>
        <w:t xml:space="preserve"> is not incorporated into the policy. The next generation may require a separate dwelling to live on the farm to assist </w:t>
      </w:r>
      <w:r w:rsidR="00B15E91" w:rsidRPr="001259D1">
        <w:rPr>
          <w:lang w:val="en-US"/>
        </w:rPr>
        <w:t>while maintaining other primary employment</w:t>
      </w:r>
      <w:r w:rsidRPr="001259D1">
        <w:rPr>
          <w:lang w:val="en-US"/>
        </w:rPr>
        <w:t xml:space="preserve">. </w:t>
      </w:r>
      <w:r w:rsidR="00B15E91" w:rsidRPr="001259D1">
        <w:rPr>
          <w:lang w:val="en-US"/>
        </w:rPr>
        <w:t>Guidelines</w:t>
      </w:r>
      <w:r w:rsidRPr="001259D1">
        <w:rPr>
          <w:lang w:val="en-US"/>
        </w:rPr>
        <w:t xml:space="preserve"> could address</w:t>
      </w:r>
      <w:r w:rsidR="00CE55F2">
        <w:rPr>
          <w:lang w:val="en-US"/>
        </w:rPr>
        <w:t xml:space="preserve"> farm succession planning as a </w:t>
      </w:r>
      <w:r w:rsidRPr="001259D1">
        <w:rPr>
          <w:lang w:val="en-US"/>
        </w:rPr>
        <w:t xml:space="preserve">justification of need. </w:t>
      </w:r>
    </w:p>
    <w:p w14:paraId="4D1B1729" w14:textId="6CE5BF7A" w:rsidR="009F1902" w:rsidRPr="001259D1" w:rsidRDefault="00CD4F42" w:rsidP="009F1902">
      <w:pPr>
        <w:pStyle w:val="ListParagraph"/>
        <w:numPr>
          <w:ilvl w:val="0"/>
          <w:numId w:val="14"/>
        </w:numPr>
        <w:spacing w:after="100" w:afterAutospacing="1"/>
        <w:ind w:left="714" w:hanging="357"/>
        <w:rPr>
          <w:lang w:val="en-US"/>
        </w:rPr>
      </w:pPr>
      <w:r w:rsidRPr="001259D1">
        <w:rPr>
          <w:lang w:val="en-US"/>
        </w:rPr>
        <w:t xml:space="preserve">Respecting </w:t>
      </w:r>
      <w:r w:rsidR="00B15E91" w:rsidRPr="001259D1">
        <w:rPr>
          <w:lang w:val="en-US"/>
        </w:rPr>
        <w:t xml:space="preserve">the terms </w:t>
      </w:r>
      <w:r w:rsidRPr="001259D1">
        <w:rPr>
          <w:lang w:val="en-US"/>
        </w:rPr>
        <w:t xml:space="preserve">“mobile and portable” </w:t>
      </w:r>
      <w:r w:rsidR="00B15E91" w:rsidRPr="001259D1">
        <w:rPr>
          <w:lang w:val="en-US"/>
        </w:rPr>
        <w:t>(temporary) r</w:t>
      </w:r>
      <w:r w:rsidRPr="001259D1">
        <w:rPr>
          <w:lang w:val="en-US"/>
        </w:rPr>
        <w:t xml:space="preserve">equirement – the terminology </w:t>
      </w:r>
      <w:r w:rsidR="001259D1">
        <w:rPr>
          <w:lang w:val="en-US"/>
        </w:rPr>
        <w:t>can be problematic</w:t>
      </w:r>
      <w:r w:rsidRPr="001259D1">
        <w:rPr>
          <w:lang w:val="en-US"/>
        </w:rPr>
        <w:t xml:space="preserve">. </w:t>
      </w:r>
      <w:r w:rsidR="009F1902" w:rsidRPr="001259D1">
        <w:rPr>
          <w:lang w:val="en-US"/>
        </w:rPr>
        <w:t xml:space="preserve">The current </w:t>
      </w:r>
      <w:r w:rsidR="009F1902">
        <w:rPr>
          <w:lang w:val="en-US"/>
        </w:rPr>
        <w:t xml:space="preserve">policy </w:t>
      </w:r>
      <w:r w:rsidR="009F1902" w:rsidRPr="001259D1">
        <w:rPr>
          <w:lang w:val="en-US"/>
        </w:rPr>
        <w:t>wording does not encourage farm help if there is a connotation of substandard housing style accommodations.</w:t>
      </w:r>
    </w:p>
    <w:p w14:paraId="65D3DD56" w14:textId="77777777" w:rsidR="009F1902" w:rsidRDefault="00CD4F42" w:rsidP="009F1902">
      <w:pPr>
        <w:pStyle w:val="ListParagraph"/>
        <w:spacing w:after="100" w:afterAutospacing="1"/>
        <w:ind w:left="714"/>
        <w:rPr>
          <w:lang w:val="en-US"/>
        </w:rPr>
      </w:pPr>
      <w:r w:rsidRPr="001259D1">
        <w:rPr>
          <w:lang w:val="en-US"/>
        </w:rPr>
        <w:t xml:space="preserve">Guidelines could address this </w:t>
      </w:r>
      <w:r w:rsidR="001259D1" w:rsidRPr="001259D1">
        <w:rPr>
          <w:lang w:val="en-US"/>
        </w:rPr>
        <w:t>to</w:t>
      </w:r>
      <w:r w:rsidRPr="001259D1">
        <w:rPr>
          <w:lang w:val="en-US"/>
        </w:rPr>
        <w:t xml:space="preserve"> be more encouraging of these uses (</w:t>
      </w:r>
      <w:r w:rsidR="00B15E91" w:rsidRPr="001259D1">
        <w:rPr>
          <w:lang w:val="en-US"/>
        </w:rPr>
        <w:t xml:space="preserve">identify </w:t>
      </w:r>
      <w:r w:rsidRPr="001259D1">
        <w:rPr>
          <w:lang w:val="en-US"/>
        </w:rPr>
        <w:t>acceptable housing</w:t>
      </w:r>
      <w:r w:rsidR="00B15E91" w:rsidRPr="001259D1">
        <w:rPr>
          <w:lang w:val="en-US"/>
        </w:rPr>
        <w:t xml:space="preserve"> types</w:t>
      </w:r>
      <w:r w:rsidRPr="001259D1">
        <w:rPr>
          <w:lang w:val="en-US"/>
        </w:rPr>
        <w:t xml:space="preserve"> i.e.</w:t>
      </w:r>
      <w:r w:rsidR="009F1902">
        <w:rPr>
          <w:lang w:val="en-US"/>
        </w:rPr>
        <w:t>,</w:t>
      </w:r>
      <w:r w:rsidRPr="001259D1">
        <w:rPr>
          <w:lang w:val="en-US"/>
        </w:rPr>
        <w:t xml:space="preserve"> not just a trailer), while still ensuring temporary</w:t>
      </w:r>
      <w:r w:rsidR="00B15E91" w:rsidRPr="001259D1">
        <w:rPr>
          <w:lang w:val="en-US"/>
        </w:rPr>
        <w:t xml:space="preserve"> nature</w:t>
      </w:r>
      <w:r w:rsidRPr="001259D1">
        <w:rPr>
          <w:lang w:val="en-US"/>
        </w:rPr>
        <w:t xml:space="preserve">. </w:t>
      </w:r>
    </w:p>
    <w:p w14:paraId="3601BB30" w14:textId="772E573B" w:rsidR="00CD4F42" w:rsidRPr="009F1902" w:rsidRDefault="00CD4F42" w:rsidP="009F1902">
      <w:pPr>
        <w:pStyle w:val="ListParagraph"/>
        <w:numPr>
          <w:ilvl w:val="0"/>
          <w:numId w:val="14"/>
        </w:numPr>
        <w:spacing w:after="100" w:afterAutospacing="1"/>
        <w:rPr>
          <w:lang w:val="en-US"/>
        </w:rPr>
      </w:pPr>
      <w:r w:rsidRPr="009F1902">
        <w:rPr>
          <w:lang w:val="en-US"/>
        </w:rPr>
        <w:t xml:space="preserve">Guidelines </w:t>
      </w:r>
      <w:r w:rsidR="00B15E91" w:rsidRPr="009F1902">
        <w:rPr>
          <w:lang w:val="en-US"/>
        </w:rPr>
        <w:t xml:space="preserve">could </w:t>
      </w:r>
      <w:r w:rsidRPr="009F1902">
        <w:rPr>
          <w:lang w:val="en-US"/>
        </w:rPr>
        <w:t xml:space="preserve">address when agreements on title </w:t>
      </w:r>
      <w:r w:rsidR="00B15E91" w:rsidRPr="009F1902">
        <w:rPr>
          <w:lang w:val="en-US"/>
        </w:rPr>
        <w:t>will be required, for transparency purposes</w:t>
      </w:r>
      <w:r w:rsidRPr="009F1902">
        <w:rPr>
          <w:lang w:val="en-US"/>
        </w:rPr>
        <w:t xml:space="preserve">. </w:t>
      </w:r>
    </w:p>
    <w:p w14:paraId="3E09BF2C" w14:textId="0C78AAB9" w:rsidR="00744E26" w:rsidRDefault="00F07E46" w:rsidP="00160C26">
      <w:pPr>
        <w:numPr>
          <w:ilvl w:val="0"/>
          <w:numId w:val="14"/>
        </w:numPr>
        <w:spacing w:after="100" w:afterAutospacing="1"/>
        <w:contextualSpacing/>
        <w:rPr>
          <w:lang w:val="en-US"/>
        </w:rPr>
      </w:pPr>
      <w:r>
        <w:rPr>
          <w:lang w:val="en-US"/>
        </w:rPr>
        <w:t>G</w:t>
      </w:r>
      <w:r w:rsidR="00744E26">
        <w:rPr>
          <w:lang w:val="en-US"/>
        </w:rPr>
        <w:t xml:space="preserve">reater clarity </w:t>
      </w:r>
      <w:r>
        <w:rPr>
          <w:lang w:val="en-US"/>
        </w:rPr>
        <w:t xml:space="preserve">is required </w:t>
      </w:r>
      <w:r w:rsidR="00744E26">
        <w:rPr>
          <w:lang w:val="en-US"/>
        </w:rPr>
        <w:t xml:space="preserve">with respect to the scenarios when </w:t>
      </w:r>
      <w:r>
        <w:rPr>
          <w:lang w:val="en-US"/>
        </w:rPr>
        <w:t xml:space="preserve">the </w:t>
      </w:r>
      <w:r w:rsidR="00744E26">
        <w:rPr>
          <w:lang w:val="en-US"/>
        </w:rPr>
        <w:t xml:space="preserve">temporary </w:t>
      </w:r>
      <w:r>
        <w:rPr>
          <w:lang w:val="en-US"/>
        </w:rPr>
        <w:t xml:space="preserve">dwelling </w:t>
      </w:r>
      <w:r w:rsidR="00744E26">
        <w:rPr>
          <w:lang w:val="en-US"/>
        </w:rPr>
        <w:t xml:space="preserve">may be transitioned/converted to alternate uses after </w:t>
      </w:r>
      <w:r>
        <w:rPr>
          <w:lang w:val="en-US"/>
        </w:rPr>
        <w:t xml:space="preserve">it is </w:t>
      </w:r>
      <w:r w:rsidR="00744E26">
        <w:rPr>
          <w:lang w:val="en-US"/>
        </w:rPr>
        <w:t xml:space="preserve">no longer </w:t>
      </w:r>
      <w:r w:rsidR="00C94DC3">
        <w:rPr>
          <w:lang w:val="en-US"/>
        </w:rPr>
        <w:t>required</w:t>
      </w:r>
      <w:r>
        <w:rPr>
          <w:lang w:val="en-US"/>
        </w:rPr>
        <w:t xml:space="preserve"> as a farm help dwelling</w:t>
      </w:r>
      <w:r w:rsidR="00C94DC3">
        <w:rPr>
          <w:lang w:val="en-US"/>
        </w:rPr>
        <w:t xml:space="preserve">. </w:t>
      </w:r>
      <w:r w:rsidR="00744E26">
        <w:rPr>
          <w:lang w:val="en-US"/>
        </w:rPr>
        <w:t xml:space="preserve">This would create greater clarity upfront about removal vs. conversion. </w:t>
      </w:r>
    </w:p>
    <w:p w14:paraId="3A900CA3" w14:textId="4A98D5A3" w:rsidR="00744E26" w:rsidRDefault="00744E26" w:rsidP="00160C26">
      <w:pPr>
        <w:numPr>
          <w:ilvl w:val="0"/>
          <w:numId w:val="14"/>
        </w:numPr>
        <w:spacing w:after="100" w:afterAutospacing="1"/>
        <w:ind w:left="714" w:hanging="357"/>
        <w:contextualSpacing/>
        <w:rPr>
          <w:lang w:val="en-US"/>
        </w:rPr>
      </w:pPr>
      <w:r>
        <w:rPr>
          <w:lang w:val="en-US"/>
        </w:rPr>
        <w:t xml:space="preserve">Respecting </w:t>
      </w:r>
      <w:r w:rsidR="006E041E">
        <w:rPr>
          <w:lang w:val="en-US"/>
        </w:rPr>
        <w:t xml:space="preserve">the requirement for </w:t>
      </w:r>
      <w:r>
        <w:rPr>
          <w:lang w:val="en-US"/>
        </w:rPr>
        <w:t>siting the accommodations in the farm building cluster – there are scenarios where the unit may be more desirable outside the farm building cluster</w:t>
      </w:r>
      <w:r w:rsidR="00546F0A">
        <w:rPr>
          <w:lang w:val="en-US"/>
        </w:rPr>
        <w:t>,</w:t>
      </w:r>
      <w:r>
        <w:rPr>
          <w:lang w:val="en-US"/>
        </w:rPr>
        <w:t xml:space="preserve"> e.g.</w:t>
      </w:r>
      <w:r w:rsidR="00546F0A">
        <w:rPr>
          <w:lang w:val="en-US"/>
        </w:rPr>
        <w:t>,</w:t>
      </w:r>
      <w:r>
        <w:rPr>
          <w:lang w:val="en-US"/>
        </w:rPr>
        <w:t xml:space="preserve"> land use compatibility issues (hauling manure on existing access), </w:t>
      </w:r>
      <w:r w:rsidR="008802BA">
        <w:rPr>
          <w:lang w:val="en-US"/>
        </w:rPr>
        <w:t xml:space="preserve">the </w:t>
      </w:r>
      <w:r>
        <w:rPr>
          <w:lang w:val="en-US"/>
        </w:rPr>
        <w:t xml:space="preserve">type of operation and need for heavy farm equipment could create safety issues. </w:t>
      </w:r>
    </w:p>
    <w:p w14:paraId="65AA8D8C" w14:textId="77777777" w:rsidR="00CE55F2" w:rsidRDefault="00CE55F2" w:rsidP="00CE55F2">
      <w:pPr>
        <w:spacing w:after="0"/>
        <w:rPr>
          <w:rFonts w:ascii="Arial" w:hAnsi="Arial" w:cs="Arial"/>
          <w:szCs w:val="24"/>
          <w:highlight w:val="yellow"/>
        </w:rPr>
      </w:pPr>
    </w:p>
    <w:p w14:paraId="6ED2A87C" w14:textId="302C57B7" w:rsidR="00091DDE" w:rsidRPr="001F5DEA" w:rsidRDefault="00CE55F2" w:rsidP="00CE55F2">
      <w:pPr>
        <w:spacing w:after="0"/>
        <w:rPr>
          <w:rFonts w:ascii="Helvetica" w:hAnsi="Helvetica"/>
          <w:color w:val="000000" w:themeColor="text1"/>
          <w:shd w:val="clear" w:color="auto" w:fill="FFFFFF"/>
        </w:rPr>
      </w:pPr>
      <w:r w:rsidRPr="003E6C86">
        <w:rPr>
          <w:rFonts w:ascii="Arial" w:hAnsi="Arial" w:cs="Arial"/>
          <w:szCs w:val="24"/>
        </w:rPr>
        <w:t xml:space="preserve">A review and analysis of the above noted NEC DPA history, a jurisdictional scan, review of known stakeholder, special interest groups positions/interests, and the input of the </w:t>
      </w:r>
      <w:r w:rsidRPr="00CE55F2">
        <w:rPr>
          <w:rFonts w:ascii="Arial" w:hAnsi="Arial" w:cs="Arial"/>
          <w:szCs w:val="24"/>
        </w:rPr>
        <w:t xml:space="preserve">Commission Working Group, has revealed that any challenges with the 2017 policies respecting these uses are those related to policy implementation, rather than any identified policy deficiencies or conflicts. </w:t>
      </w:r>
      <w:r w:rsidR="009C1F21">
        <w:rPr>
          <w:rFonts w:ascii="Arial" w:hAnsi="Arial" w:cs="Arial"/>
          <w:szCs w:val="24"/>
        </w:rPr>
        <w:t>Additionally, staff notes that the current NEP policies respecting these uses are consistent with the PPS and the OMA</w:t>
      </w:r>
      <w:r w:rsidR="00165DC3">
        <w:rPr>
          <w:rFonts w:ascii="Arial" w:hAnsi="Arial" w:cs="Arial"/>
          <w:szCs w:val="24"/>
        </w:rPr>
        <w:t>FR</w:t>
      </w:r>
      <w:r w:rsidR="009C1F21">
        <w:rPr>
          <w:rFonts w:ascii="Arial" w:hAnsi="Arial" w:cs="Arial"/>
          <w:szCs w:val="24"/>
        </w:rPr>
        <w:t xml:space="preserve">A Guidelines. </w:t>
      </w:r>
      <w:r w:rsidR="003B5A9E" w:rsidRPr="001F5DEA">
        <w:rPr>
          <w:rFonts w:ascii="Arial" w:hAnsi="Arial" w:cs="Arial"/>
          <w:color w:val="000000" w:themeColor="text1"/>
          <w:szCs w:val="24"/>
        </w:rPr>
        <w:t xml:space="preserve">Staff adds that one additional area identified for further consideration is with respect to </w:t>
      </w:r>
      <w:r w:rsidR="00165DC3" w:rsidRPr="001F5DEA">
        <w:rPr>
          <w:rFonts w:ascii="Helvetica" w:hAnsi="Helvetica"/>
          <w:color w:val="000000" w:themeColor="text1"/>
          <w:shd w:val="clear" w:color="auto" w:fill="FFFFFF"/>
        </w:rPr>
        <w:t>the impacts of COVID-19</w:t>
      </w:r>
      <w:r w:rsidR="008F7D4A" w:rsidRPr="001F5DEA">
        <w:rPr>
          <w:rFonts w:ascii="Helvetica" w:hAnsi="Helvetica"/>
          <w:color w:val="000000" w:themeColor="text1"/>
          <w:shd w:val="clear" w:color="auto" w:fill="FFFFFF"/>
        </w:rPr>
        <w:t xml:space="preserve">.  The pandemic has </w:t>
      </w:r>
      <w:r w:rsidR="00165DC3" w:rsidRPr="001F5DEA">
        <w:rPr>
          <w:rFonts w:ascii="Helvetica" w:hAnsi="Helvetica"/>
          <w:color w:val="000000" w:themeColor="text1"/>
          <w:shd w:val="clear" w:color="auto" w:fill="FFFFFF"/>
        </w:rPr>
        <w:t>resulted in a challenging situation for many farmers and other agricultural related businesses and have also had significant impacts on the seasonal workers that these operations rely upon.</w:t>
      </w:r>
      <w:r w:rsidR="008F7D4A" w:rsidRPr="001F5DEA">
        <w:rPr>
          <w:rFonts w:ascii="Helvetica" w:hAnsi="Helvetica"/>
          <w:color w:val="000000" w:themeColor="text1"/>
          <w:shd w:val="clear" w:color="auto" w:fill="FFFFFF"/>
        </w:rPr>
        <w:t xml:space="preserve"> It will be </w:t>
      </w:r>
      <w:r w:rsidR="008F7D4A" w:rsidRPr="001F5DEA">
        <w:rPr>
          <w:rFonts w:ascii="Helvetica" w:hAnsi="Helvetica"/>
          <w:color w:val="000000" w:themeColor="text1"/>
          <w:shd w:val="clear" w:color="auto" w:fill="FFFFFF"/>
        </w:rPr>
        <w:lastRenderedPageBreak/>
        <w:t>necessary to ensure that the</w:t>
      </w:r>
      <w:r w:rsidR="001F5DEA">
        <w:rPr>
          <w:rFonts w:ascii="Helvetica" w:hAnsi="Helvetica"/>
          <w:color w:val="000000" w:themeColor="text1"/>
          <w:shd w:val="clear" w:color="auto" w:fill="FFFFFF"/>
        </w:rPr>
        <w:t xml:space="preserve"> NEP policies and guidance material</w:t>
      </w:r>
      <w:r w:rsidR="008900CD" w:rsidRPr="001F5DEA">
        <w:rPr>
          <w:rFonts w:ascii="Helvetica" w:hAnsi="Helvetica"/>
          <w:color w:val="000000" w:themeColor="text1"/>
          <w:shd w:val="clear" w:color="auto" w:fill="FFFFFF"/>
        </w:rPr>
        <w:t xml:space="preserve"> address</w:t>
      </w:r>
      <w:r w:rsidR="00091DDE" w:rsidRPr="001F5DEA">
        <w:rPr>
          <w:rFonts w:ascii="Helvetica" w:hAnsi="Helvetica"/>
          <w:color w:val="000000" w:themeColor="text1"/>
          <w:shd w:val="clear" w:color="auto" w:fill="FFFFFF"/>
        </w:rPr>
        <w:t xml:space="preserve"> any additional provincial guidelines</w:t>
      </w:r>
      <w:r w:rsidR="001F5DEA">
        <w:rPr>
          <w:rFonts w:ascii="Helvetica" w:hAnsi="Helvetica"/>
          <w:color w:val="000000" w:themeColor="text1"/>
          <w:shd w:val="clear" w:color="auto" w:fill="FFFFFF"/>
        </w:rPr>
        <w:t>/requirements</w:t>
      </w:r>
      <w:r w:rsidR="00091DDE" w:rsidRPr="001F5DEA">
        <w:rPr>
          <w:rFonts w:ascii="Helvetica" w:hAnsi="Helvetica"/>
          <w:color w:val="000000" w:themeColor="text1"/>
          <w:shd w:val="clear" w:color="auto" w:fill="FFFFFF"/>
        </w:rPr>
        <w:t xml:space="preserve"> that have resulted from </w:t>
      </w:r>
      <w:r w:rsidR="009E5783">
        <w:rPr>
          <w:rFonts w:ascii="Helvetica" w:hAnsi="Helvetica"/>
          <w:color w:val="000000" w:themeColor="text1"/>
          <w:shd w:val="clear" w:color="auto" w:fill="FFFFFF"/>
        </w:rPr>
        <w:t>the pandemic</w:t>
      </w:r>
      <w:r w:rsidR="00091DDE" w:rsidRPr="001F5DEA">
        <w:rPr>
          <w:rFonts w:ascii="Helvetica" w:hAnsi="Helvetica"/>
          <w:color w:val="000000" w:themeColor="text1"/>
          <w:shd w:val="clear" w:color="auto" w:fill="FFFFFF"/>
        </w:rPr>
        <w:t xml:space="preserve">. </w:t>
      </w:r>
    </w:p>
    <w:p w14:paraId="0F06DE15" w14:textId="4154D741" w:rsidR="00165DC3" w:rsidRDefault="008900CD" w:rsidP="00CE55F2">
      <w:pPr>
        <w:spacing w:after="0"/>
        <w:rPr>
          <w:rFonts w:ascii="Arial" w:hAnsi="Arial" w:cs="Arial"/>
          <w:szCs w:val="24"/>
        </w:rPr>
      </w:pPr>
      <w:r>
        <w:rPr>
          <w:rFonts w:ascii="Helvetica" w:hAnsi="Helvetica"/>
          <w:color w:val="1A1A1A"/>
          <w:shd w:val="clear" w:color="auto" w:fill="FFFFFF"/>
        </w:rPr>
        <w:t xml:space="preserve"> </w:t>
      </w:r>
    </w:p>
    <w:p w14:paraId="62A6BEF8" w14:textId="7FF76E4E" w:rsidR="00CE55F2" w:rsidRPr="00CE55F2" w:rsidRDefault="00CE55F2" w:rsidP="00CE55F2">
      <w:pPr>
        <w:spacing w:after="0"/>
        <w:rPr>
          <w:rFonts w:ascii="Arial" w:hAnsi="Arial" w:cs="Arial"/>
          <w:szCs w:val="24"/>
        </w:rPr>
      </w:pPr>
      <w:r w:rsidRPr="00CE55F2">
        <w:rPr>
          <w:rFonts w:ascii="Arial" w:hAnsi="Arial" w:cs="Arial"/>
          <w:szCs w:val="24"/>
        </w:rPr>
        <w:t xml:space="preserve">It is staff’s position that </w:t>
      </w:r>
      <w:r w:rsidR="00091DDE">
        <w:rPr>
          <w:rFonts w:ascii="Arial" w:hAnsi="Arial" w:cs="Arial"/>
          <w:szCs w:val="24"/>
        </w:rPr>
        <w:t xml:space="preserve">overall, </w:t>
      </w:r>
      <w:r w:rsidR="009C1F21">
        <w:rPr>
          <w:rFonts w:ascii="Arial" w:hAnsi="Arial" w:cs="Arial"/>
          <w:szCs w:val="24"/>
        </w:rPr>
        <w:t xml:space="preserve">these </w:t>
      </w:r>
      <w:r w:rsidRPr="00CE55F2">
        <w:rPr>
          <w:rFonts w:ascii="Arial" w:hAnsi="Arial" w:cs="Arial"/>
          <w:szCs w:val="24"/>
        </w:rPr>
        <w:t xml:space="preserve">matters of implementation can continue to be appropriately addressed through the development of </w:t>
      </w:r>
      <w:r w:rsidR="00091DDE">
        <w:rPr>
          <w:rFonts w:ascii="Arial" w:hAnsi="Arial" w:cs="Arial"/>
          <w:szCs w:val="24"/>
        </w:rPr>
        <w:t>p</w:t>
      </w:r>
      <w:r w:rsidRPr="00CE55F2">
        <w:rPr>
          <w:rFonts w:ascii="Arial" w:hAnsi="Arial" w:cs="Arial"/>
          <w:szCs w:val="24"/>
        </w:rPr>
        <w:t xml:space="preserve">olicy </w:t>
      </w:r>
      <w:r w:rsidR="00091DDE">
        <w:rPr>
          <w:rFonts w:ascii="Arial" w:hAnsi="Arial" w:cs="Arial"/>
          <w:szCs w:val="24"/>
        </w:rPr>
        <w:t>g</w:t>
      </w:r>
      <w:r w:rsidRPr="00CE55F2">
        <w:rPr>
          <w:rFonts w:ascii="Arial" w:hAnsi="Arial" w:cs="Arial"/>
          <w:szCs w:val="24"/>
        </w:rPr>
        <w:t xml:space="preserve">uidelines and other administrative process efficiencies, and that the evidence-base does not indicate the need for a Plan </w:t>
      </w:r>
      <w:r w:rsidR="005239E2">
        <w:rPr>
          <w:rFonts w:ascii="Arial" w:hAnsi="Arial" w:cs="Arial"/>
          <w:szCs w:val="24"/>
        </w:rPr>
        <w:t>a</w:t>
      </w:r>
      <w:r w:rsidRPr="00CE55F2">
        <w:rPr>
          <w:rFonts w:ascii="Arial" w:hAnsi="Arial" w:cs="Arial"/>
          <w:szCs w:val="24"/>
        </w:rPr>
        <w:t xml:space="preserve">mendment at this time. </w:t>
      </w:r>
    </w:p>
    <w:p w14:paraId="669C4408" w14:textId="40944144" w:rsidR="00E9186A" w:rsidRDefault="00E9186A" w:rsidP="00744E26">
      <w:pPr>
        <w:autoSpaceDE w:val="0"/>
        <w:autoSpaceDN w:val="0"/>
        <w:adjustRightInd w:val="0"/>
        <w:spacing w:after="0" w:line="240" w:lineRule="auto"/>
        <w:rPr>
          <w:rFonts w:ascii="Arial" w:hAnsi="Arial" w:cs="Arial"/>
          <w:b/>
          <w:bCs/>
          <w:color w:val="000000"/>
          <w:szCs w:val="24"/>
        </w:rPr>
      </w:pPr>
    </w:p>
    <w:p w14:paraId="1C5BC643" w14:textId="4DDC9977" w:rsidR="00AD308C" w:rsidRDefault="000E4B3D" w:rsidP="00744E26">
      <w:pPr>
        <w:autoSpaceDE w:val="0"/>
        <w:autoSpaceDN w:val="0"/>
        <w:adjustRightInd w:val="0"/>
        <w:spacing w:after="0" w:line="240" w:lineRule="auto"/>
        <w:rPr>
          <w:rFonts w:ascii="Arial" w:hAnsi="Arial" w:cs="Arial"/>
          <w:b/>
          <w:bCs/>
          <w:color w:val="000000"/>
          <w:szCs w:val="24"/>
        </w:rPr>
      </w:pPr>
      <w:r w:rsidRPr="00AD308C">
        <w:rPr>
          <w:rFonts w:cstheme="minorHAnsi"/>
          <w:b/>
          <w:bCs/>
          <w:noProof/>
          <w:lang w:val="en-US"/>
        </w:rPr>
        <mc:AlternateContent>
          <mc:Choice Requires="wpg">
            <w:drawing>
              <wp:inline distT="0" distB="0" distL="0" distR="0" wp14:anchorId="22F84798" wp14:editId="7284E4EA">
                <wp:extent cx="5924549" cy="1301750"/>
                <wp:effectExtent l="0" t="0" r="19685" b="12700"/>
                <wp:docPr id="23" name="Group 23"/>
                <wp:cNvGraphicFramePr/>
                <a:graphic xmlns:a="http://schemas.openxmlformats.org/drawingml/2006/main">
                  <a:graphicData uri="http://schemas.microsoft.com/office/word/2010/wordprocessingGroup">
                    <wpg:wgp>
                      <wpg:cNvGrpSpPr/>
                      <wpg:grpSpPr>
                        <a:xfrm>
                          <a:off x="0" y="0"/>
                          <a:ext cx="5924549" cy="1301750"/>
                          <a:chOff x="-11556" y="0"/>
                          <a:chExt cx="3594415" cy="1128801"/>
                        </a:xfrm>
                      </wpg:grpSpPr>
                      <wps:wsp>
                        <wps:cNvPr id="24" name="Rectangle 24"/>
                        <wps:cNvSpPr/>
                        <wps:spPr>
                          <a:xfrm>
                            <a:off x="-1" y="0"/>
                            <a:ext cx="3582860" cy="270605"/>
                          </a:xfrm>
                          <a:prstGeom prst="rect">
                            <a:avLst/>
                          </a:prstGeom>
                          <a:solidFill>
                            <a:srgbClr val="DDDDDD"/>
                          </a:solidFill>
                          <a:ln w="25400" cap="flat" cmpd="sng" algn="ctr">
                            <a:solidFill>
                              <a:srgbClr val="DDDDDD"/>
                            </a:solidFill>
                            <a:prstDash val="solid"/>
                          </a:ln>
                          <a:effectLst/>
                        </wps:spPr>
                        <wps:txbx>
                          <w:txbxContent>
                            <w:p w14:paraId="6B22D5BB" w14:textId="2974DD42" w:rsidR="00BC7C86" w:rsidRPr="005C6209" w:rsidRDefault="00BC7C86" w:rsidP="000E4B3D">
                              <w:pPr>
                                <w:jc w:val="center"/>
                                <w:rPr>
                                  <w:rFonts w:asciiTheme="majorHAnsi" w:eastAsiaTheme="majorEastAsia" w:hAnsiTheme="majorHAnsi" w:cstheme="majorBidi"/>
                                  <w:color w:val="000000" w:themeColor="text1"/>
                                  <w:szCs w:val="28"/>
                                  <w:lang w:val="en-US"/>
                                </w:rPr>
                              </w:pPr>
                              <w:r w:rsidRPr="005C6209">
                                <w:rPr>
                                  <w:rFonts w:asciiTheme="majorHAnsi" w:eastAsiaTheme="majorEastAsia" w:hAnsiTheme="majorHAnsi" w:cstheme="majorBidi"/>
                                  <w:color w:val="000000" w:themeColor="text1"/>
                                  <w:szCs w:val="28"/>
                                  <w:lang w:val="en-US"/>
                                </w:rPr>
                                <w:t xml:space="preserve">SUMMARY RECOMMENDATION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Text Box 25"/>
                        <wps:cNvSpPr txBox="1"/>
                        <wps:spPr>
                          <a:xfrm>
                            <a:off x="-11556" y="270535"/>
                            <a:ext cx="3590563" cy="858266"/>
                          </a:xfrm>
                          <a:prstGeom prst="rect">
                            <a:avLst/>
                          </a:prstGeom>
                          <a:noFill/>
                          <a:ln w="6350">
                            <a:solidFill>
                              <a:srgbClr val="DDDDDD"/>
                            </a:solidFill>
                          </a:ln>
                          <a:effectLst/>
                        </wps:spPr>
                        <wps:txbx>
                          <w:txbxContent>
                            <w:p w14:paraId="326E55C1" w14:textId="57450932" w:rsidR="00BC7C86" w:rsidRPr="00A67759" w:rsidRDefault="00BC7C86" w:rsidP="000E4B3D">
                              <w:pPr>
                                <w:rPr>
                                  <w:caps/>
                                  <w:color w:val="DDDDDD" w:themeColor="accent1"/>
                                  <w:sz w:val="26"/>
                                  <w:szCs w:val="26"/>
                                </w:rPr>
                              </w:pPr>
                              <w:r w:rsidRPr="00A67759">
                                <w:t xml:space="preserve">Staff recommends that dwelling units accessory to agriculture </w:t>
                              </w:r>
                              <w:r w:rsidR="003D1676" w:rsidRPr="00A67759">
                                <w:t xml:space="preserve">should </w:t>
                              </w:r>
                              <w:r w:rsidRPr="00A67759">
                                <w:rPr>
                                  <w:u w:val="single"/>
                                </w:rPr>
                                <w:t>not</w:t>
                              </w:r>
                              <w:r w:rsidRPr="00A67759">
                                <w:t xml:space="preserve"> </w:t>
                              </w:r>
                              <w:r w:rsidR="003D1676" w:rsidRPr="00A67759">
                                <w:t xml:space="preserve">be </w:t>
                              </w:r>
                              <w:r w:rsidRPr="00A67759">
                                <w:t xml:space="preserve">in scope for a proposed Plan amendment for the reasons identified herein, and that the Commission should direct staff to proceed with the development of Policy Guidelines to address matters of implementation. </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inline>
            </w:drawing>
          </mc:Choice>
          <mc:Fallback>
            <w:pict>
              <v:group w14:anchorId="22F84798" id="Group 23" o:spid="_x0000_s1029" style="width:466.5pt;height:102.5pt;mso-position-horizontal-relative:char;mso-position-vertical-relative:line" coordorigin="-115" coordsize="35944,11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">
                <v:rect id="Rectangle 24" o:spid="_x0000_s1030" style="position:absolute;width:35828;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" fillcolor="#ddd" strokecolor="#ddd" strokeweight="2pt">
                  <v:textbox>
                    <w:txbxContent>
                      <w:p w14:paraId="6B22D5BB" w14:textId="2974DD42" w:rsidR="00BC7C86" w:rsidRPr="005C6209" w:rsidRDefault="00BC7C86" w:rsidP="000E4B3D">
                        <w:pPr>
                          <w:jc w:val="center"/>
                          <w:rPr>
                            <w:rFonts w:asciiTheme="majorHAnsi" w:eastAsiaTheme="majorEastAsia" w:hAnsiTheme="majorHAnsi" w:cstheme="majorBidi"/>
                            <w:color w:val="000000" w:themeColor="text1"/>
                            <w:szCs w:val="28"/>
                            <w:lang w:val="en-US"/>
                          </w:rPr>
                        </w:pPr>
                        <w:r w:rsidRPr="005C6209">
                          <w:rPr>
                            <w:rFonts w:asciiTheme="majorHAnsi" w:eastAsiaTheme="majorEastAsia" w:hAnsiTheme="majorHAnsi" w:cstheme="majorBidi"/>
                            <w:color w:val="000000" w:themeColor="text1"/>
                            <w:szCs w:val="28"/>
                            <w:lang w:val="en-US"/>
                          </w:rPr>
                          <w:t xml:space="preserve">SUMMARY RECOMMENDATION </w:t>
                        </w:r>
                      </w:p>
                    </w:txbxContent>
                  </v:textbox>
                </v:rect>
                <v:shape id="Text Box 25" o:spid="_x0000_s1031" type="#_x0000_t202" style="position:absolute;left:-115;top:2705;width:35905;height:8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" filled="f" strokecolor="#ddd" strokeweight=".5pt">
                  <v:textbox inset=",7.2pt,,0">
                    <w:txbxContent>
                      <w:p w14:paraId="326E55C1" w14:textId="57450932" w:rsidR="00BC7C86" w:rsidRPr="00A67759" w:rsidRDefault="00BC7C86" w:rsidP="000E4B3D">
                        <w:pPr>
                          <w:rPr>
                            <w:caps/>
                            <w:color w:val="DDDDDD" w:themeColor="accent1"/>
                            <w:sz w:val="26"/>
                            <w:szCs w:val="26"/>
                          </w:rPr>
                        </w:pPr>
                        <w:r w:rsidRPr="00A67759">
                          <w:t xml:space="preserve">Staff recommends that dwelling units accessory to agriculture </w:t>
                        </w:r>
                        <w:r w:rsidR="003D1676" w:rsidRPr="00A67759">
                          <w:t xml:space="preserve">should </w:t>
                        </w:r>
                        <w:r w:rsidRPr="00A67759">
                          <w:rPr>
                            <w:u w:val="single"/>
                          </w:rPr>
                          <w:t>not</w:t>
                        </w:r>
                        <w:r w:rsidRPr="00A67759">
                          <w:t xml:space="preserve"> </w:t>
                        </w:r>
                        <w:r w:rsidR="003D1676" w:rsidRPr="00A67759">
                          <w:t xml:space="preserve">be </w:t>
                        </w:r>
                        <w:r w:rsidRPr="00A67759">
                          <w:t xml:space="preserve">in scope for a proposed Plan amendment for the reasons identified herein, and that the Commission should direct staff to proceed with the development of Policy Guidelines to address matters of implementation. </w:t>
                        </w:r>
                      </w:p>
                    </w:txbxContent>
                  </v:textbox>
                </v:shape>
                <w10:anchorlock/>
              </v:group>
            </w:pict>
          </mc:Fallback>
        </mc:AlternateContent>
      </w:r>
    </w:p>
    <w:p w14:paraId="17C34C9D" w14:textId="77777777" w:rsidR="00BF2FFC" w:rsidRDefault="00BF2FFC" w:rsidP="00555330">
      <w:pPr>
        <w:spacing w:after="0" w:line="240" w:lineRule="auto"/>
        <w:rPr>
          <w:u w:val="single"/>
          <w:lang w:val="en-US"/>
        </w:rPr>
      </w:pPr>
    </w:p>
    <w:p w14:paraId="4D1CFB28" w14:textId="6DB85B16" w:rsidR="00744E26" w:rsidRPr="001525AB" w:rsidRDefault="00D950CD" w:rsidP="00E852D6">
      <w:pPr>
        <w:spacing w:after="100" w:afterAutospacing="1" w:line="240" w:lineRule="auto"/>
        <w:rPr>
          <w:i/>
          <w:iCs/>
          <w:lang w:val="en-US"/>
        </w:rPr>
      </w:pPr>
      <w:r w:rsidRPr="001525AB">
        <w:rPr>
          <w:i/>
          <w:iCs/>
          <w:lang w:val="en-US"/>
        </w:rPr>
        <w:t xml:space="preserve">Agriculture </w:t>
      </w:r>
      <w:r w:rsidR="00ED4066" w:rsidRPr="001525AB">
        <w:rPr>
          <w:i/>
          <w:iCs/>
          <w:lang w:val="en-US"/>
        </w:rPr>
        <w:t xml:space="preserve">System </w:t>
      </w:r>
      <w:r w:rsidRPr="001525AB">
        <w:rPr>
          <w:i/>
          <w:iCs/>
          <w:lang w:val="en-US"/>
        </w:rPr>
        <w:t>and Natural Heritage</w:t>
      </w:r>
      <w:r w:rsidR="00E852D6" w:rsidRPr="001525AB">
        <w:rPr>
          <w:i/>
          <w:iCs/>
          <w:lang w:val="en-US"/>
        </w:rPr>
        <w:t xml:space="preserve"> </w:t>
      </w:r>
      <w:r w:rsidR="001525AB" w:rsidRPr="001525AB">
        <w:rPr>
          <w:i/>
          <w:iCs/>
          <w:lang w:val="en-US"/>
        </w:rPr>
        <w:t>Systems and Features</w:t>
      </w:r>
    </w:p>
    <w:p w14:paraId="5574C2EF" w14:textId="388914CC" w:rsidR="00C87E4B" w:rsidRDefault="00D16F39" w:rsidP="00C87E4B">
      <w:pPr>
        <w:spacing w:after="100" w:afterAutospacing="1"/>
        <w:contextualSpacing/>
      </w:pPr>
      <w:r>
        <w:t xml:space="preserve">The 2017 NEP places greater emphasis on the </w:t>
      </w:r>
      <w:r w:rsidR="00113472">
        <w:t>“</w:t>
      </w:r>
      <w:r>
        <w:t>system-based</w:t>
      </w:r>
      <w:r w:rsidR="00113472">
        <w:t>”</w:t>
      </w:r>
      <w:r>
        <w:t xml:space="preserve"> planning approach and</w:t>
      </w:r>
      <w:r w:rsidR="002C3BB3">
        <w:t xml:space="preserve"> speaks to</w:t>
      </w:r>
      <w:r w:rsidR="003006C9">
        <w:t xml:space="preserve"> the “Landscape Approach” </w:t>
      </w:r>
      <w:r w:rsidR="00B535C9">
        <w:t>– focusing on a</w:t>
      </w:r>
      <w:r w:rsidR="00FF5AE9">
        <w:t>n integrated system with</w:t>
      </w:r>
      <w:r w:rsidR="00B535C9">
        <w:t xml:space="preserve"> series of connected and protected </w:t>
      </w:r>
      <w:r w:rsidR="00372BE0">
        <w:t>areas and</w:t>
      </w:r>
      <w:r w:rsidR="00FF5AE9">
        <w:t xml:space="preserve"> </w:t>
      </w:r>
      <w:r w:rsidR="00B535C9">
        <w:t>include</w:t>
      </w:r>
      <w:r w:rsidR="00FF5AE9">
        <w:t>s</w:t>
      </w:r>
      <w:r w:rsidR="00B535C9">
        <w:t xml:space="preserve"> both natural and agricultural lands. </w:t>
      </w:r>
      <w:r w:rsidR="00E60E9B">
        <w:t xml:space="preserve">Agricultural lands are recognized as a valuable components of natural heritage systems, particularly in more fragmented landscapes. Farmland may function as a </w:t>
      </w:r>
      <w:r w:rsidR="00E60E9B" w:rsidRPr="0010013D">
        <w:t>linkage between natural features</w:t>
      </w:r>
      <w:r w:rsidR="00E60E9B">
        <w:t>, and provide additional benefits including habitat, pollination services, carbon sequestration</w:t>
      </w:r>
      <w:r w:rsidR="006B3139">
        <w:t>,</w:t>
      </w:r>
      <w:r w:rsidR="00E60E9B">
        <w:t xml:space="preserve"> to name a few. </w:t>
      </w:r>
    </w:p>
    <w:p w14:paraId="618A9173" w14:textId="77777777" w:rsidR="00B535C9" w:rsidRDefault="00B535C9" w:rsidP="00113472">
      <w:pPr>
        <w:spacing w:after="0"/>
      </w:pPr>
    </w:p>
    <w:p w14:paraId="70E38BB0" w14:textId="571FC8C5" w:rsidR="00D16F39" w:rsidRPr="009E5783" w:rsidRDefault="00B535C9" w:rsidP="001D0661">
      <w:pPr>
        <w:spacing w:after="0"/>
        <w:rPr>
          <w:color w:val="000000" w:themeColor="text1"/>
        </w:rPr>
      </w:pPr>
      <w:r w:rsidRPr="009E5783">
        <w:rPr>
          <w:color w:val="000000" w:themeColor="text1"/>
        </w:rPr>
        <w:t xml:space="preserve">The 2017 NEP also </w:t>
      </w:r>
      <w:r w:rsidR="00D16F39" w:rsidRPr="009E5783">
        <w:rPr>
          <w:color w:val="000000" w:themeColor="text1"/>
        </w:rPr>
        <w:t>introduced the “Agricultural System” approach to the protection and viability of the agricultural land base.  The NEP provides that prime agricultural areas in the NEP Area should be identified in accordance with the broader Agricultural System</w:t>
      </w:r>
      <w:r w:rsidR="0049529F" w:rsidRPr="009E5783">
        <w:rPr>
          <w:color w:val="000000" w:themeColor="text1"/>
        </w:rPr>
        <w:t xml:space="preserve"> (within the Greater Golden Horseshoe</w:t>
      </w:r>
      <w:r w:rsidR="002A299F" w:rsidRPr="009E5783">
        <w:rPr>
          <w:color w:val="000000" w:themeColor="text1"/>
        </w:rPr>
        <w:t>, GGH</w:t>
      </w:r>
      <w:r w:rsidR="0049529F" w:rsidRPr="009E5783">
        <w:rPr>
          <w:color w:val="000000" w:themeColor="text1"/>
        </w:rPr>
        <w:t>)</w:t>
      </w:r>
      <w:r w:rsidR="004300D9" w:rsidRPr="009E5783">
        <w:rPr>
          <w:color w:val="000000" w:themeColor="text1"/>
        </w:rPr>
        <w:t>.</w:t>
      </w:r>
      <w:r w:rsidR="00D16F39" w:rsidRPr="009E5783">
        <w:rPr>
          <w:color w:val="000000" w:themeColor="text1"/>
        </w:rPr>
        <w:t xml:space="preserve"> </w:t>
      </w:r>
      <w:r w:rsidR="004300D9" w:rsidRPr="009E5783">
        <w:rPr>
          <w:color w:val="000000" w:themeColor="text1"/>
        </w:rPr>
        <w:t xml:space="preserve">The Agricultural System consists of the </w:t>
      </w:r>
      <w:r w:rsidR="004300D9" w:rsidRPr="009E5783">
        <w:rPr>
          <w:b/>
          <w:color w:val="000000" w:themeColor="text1"/>
        </w:rPr>
        <w:t>agricultural land base</w:t>
      </w:r>
      <w:r w:rsidR="004300D9" w:rsidRPr="009E5783">
        <w:rPr>
          <w:color w:val="000000" w:themeColor="text1"/>
        </w:rPr>
        <w:t xml:space="preserve">, which includes prime agricultural areas and other lands that support agriculture, and the </w:t>
      </w:r>
      <w:r w:rsidR="004300D9" w:rsidRPr="009E5783">
        <w:rPr>
          <w:b/>
          <w:color w:val="000000" w:themeColor="text1"/>
        </w:rPr>
        <w:t>agri-food network</w:t>
      </w:r>
      <w:r w:rsidR="004300D9" w:rsidRPr="009E5783">
        <w:rPr>
          <w:color w:val="000000" w:themeColor="text1"/>
        </w:rPr>
        <w:t xml:space="preserve">, which includes the infrastructure, services, markets, distributors, and primary processing facilities that contribute to the viability of agricultural operations. </w:t>
      </w:r>
      <w:r w:rsidR="00D16F39" w:rsidRPr="009E5783">
        <w:rPr>
          <w:color w:val="000000" w:themeColor="text1"/>
        </w:rPr>
        <w:t>Linkages to the Agricultural System outside of the NEP Area should also be considered (NEP, Introduction Landscape Approach).</w:t>
      </w:r>
    </w:p>
    <w:p w14:paraId="6472DE3D" w14:textId="77777777" w:rsidR="00D16F39" w:rsidRDefault="00D16F39" w:rsidP="001D0661">
      <w:pPr>
        <w:spacing w:after="0"/>
        <w:rPr>
          <w:rFonts w:ascii="Arial" w:hAnsi="Arial" w:cs="Arial"/>
          <w:color w:val="000000" w:themeColor="text1"/>
          <w:szCs w:val="24"/>
        </w:rPr>
      </w:pPr>
    </w:p>
    <w:p w14:paraId="2C057DF9" w14:textId="77777777" w:rsidR="003A6EF1" w:rsidRPr="009E5783" w:rsidRDefault="00AB6441" w:rsidP="001D0661">
      <w:pPr>
        <w:spacing w:after="0"/>
        <w:rPr>
          <w:color w:val="000000" w:themeColor="text1"/>
        </w:rPr>
      </w:pPr>
      <w:r>
        <w:t>While t</w:t>
      </w:r>
      <w:r w:rsidR="00F507FE">
        <w:t>he 2017</w:t>
      </w:r>
      <w:r w:rsidR="00F507FE" w:rsidRPr="00F507FE">
        <w:t xml:space="preserve"> NEP </w:t>
      </w:r>
      <w:r w:rsidR="00F507FE">
        <w:t xml:space="preserve">policies </w:t>
      </w:r>
      <w:r w:rsidR="00F507FE" w:rsidRPr="00F507FE">
        <w:t>are intended to support implementation</w:t>
      </w:r>
      <w:r w:rsidR="00F507FE">
        <w:t xml:space="preserve"> of the Agricultural System</w:t>
      </w:r>
      <w:r w:rsidR="00F507FE" w:rsidRPr="00F507FE">
        <w:t xml:space="preserve">, </w:t>
      </w:r>
      <w:r w:rsidRPr="009E5783">
        <w:rPr>
          <w:rFonts w:ascii="Arial" w:hAnsi="Arial" w:cs="Arial"/>
          <w:color w:val="000000" w:themeColor="text1"/>
          <w:szCs w:val="24"/>
        </w:rPr>
        <w:t>the Agricultural System and the broader Agricultural Land Base are</w:t>
      </w:r>
      <w:r w:rsidR="00C9410C" w:rsidRPr="009E5783">
        <w:rPr>
          <w:rFonts w:ascii="Arial" w:hAnsi="Arial" w:cs="Arial"/>
          <w:color w:val="000000" w:themeColor="text1"/>
          <w:szCs w:val="24"/>
        </w:rPr>
        <w:t xml:space="preserve"> discussed </w:t>
      </w:r>
      <w:r w:rsidR="001D7D9A" w:rsidRPr="009E5783">
        <w:rPr>
          <w:rFonts w:ascii="Arial" w:hAnsi="Arial" w:cs="Arial"/>
          <w:color w:val="000000" w:themeColor="text1"/>
          <w:szCs w:val="24"/>
        </w:rPr>
        <w:t xml:space="preserve">primarily </w:t>
      </w:r>
      <w:r w:rsidRPr="009E5783">
        <w:rPr>
          <w:rFonts w:ascii="Arial" w:hAnsi="Arial" w:cs="Arial"/>
          <w:color w:val="000000" w:themeColor="text1"/>
          <w:szCs w:val="24"/>
        </w:rPr>
        <w:t>in the Introduction, Landscape Approach section</w:t>
      </w:r>
      <w:r w:rsidR="001D7D9A" w:rsidRPr="009E5783">
        <w:rPr>
          <w:rFonts w:ascii="Arial" w:hAnsi="Arial" w:cs="Arial"/>
          <w:color w:val="000000" w:themeColor="text1"/>
          <w:szCs w:val="24"/>
        </w:rPr>
        <w:t xml:space="preserve"> of the Plan</w:t>
      </w:r>
      <w:r w:rsidRPr="009E5783">
        <w:rPr>
          <w:rFonts w:ascii="Arial" w:hAnsi="Arial" w:cs="Arial"/>
          <w:color w:val="000000" w:themeColor="text1"/>
          <w:szCs w:val="24"/>
        </w:rPr>
        <w:t xml:space="preserve">, </w:t>
      </w:r>
      <w:r w:rsidR="00FA23B7" w:rsidRPr="009E5783">
        <w:rPr>
          <w:rFonts w:ascii="Arial" w:hAnsi="Arial" w:cs="Arial"/>
          <w:color w:val="000000" w:themeColor="text1"/>
          <w:szCs w:val="24"/>
        </w:rPr>
        <w:t xml:space="preserve">and </w:t>
      </w:r>
      <w:r w:rsidRPr="009E5783">
        <w:rPr>
          <w:rFonts w:ascii="Arial" w:hAnsi="Arial" w:cs="Arial"/>
          <w:color w:val="000000" w:themeColor="text1"/>
          <w:szCs w:val="24"/>
        </w:rPr>
        <w:t xml:space="preserve">the policies of the Plan focus on prime agricultural areas and specialty crop areas. The only additional specific policy reference to the Agricultural Land Base is </w:t>
      </w:r>
      <w:r w:rsidR="001D7D9A" w:rsidRPr="009E5783">
        <w:rPr>
          <w:rFonts w:ascii="Arial" w:hAnsi="Arial" w:cs="Arial"/>
          <w:color w:val="000000" w:themeColor="text1"/>
          <w:szCs w:val="24"/>
        </w:rPr>
        <w:t xml:space="preserve">found in </w:t>
      </w:r>
      <w:r w:rsidRPr="009E5783">
        <w:rPr>
          <w:rFonts w:ascii="Arial" w:hAnsi="Arial" w:cs="Arial"/>
          <w:color w:val="000000" w:themeColor="text1"/>
          <w:szCs w:val="24"/>
        </w:rPr>
        <w:t>Part 2.12.6 related to infrastructure</w:t>
      </w:r>
      <w:r w:rsidR="00757E78" w:rsidRPr="009E5783">
        <w:rPr>
          <w:color w:val="000000" w:themeColor="text1"/>
        </w:rPr>
        <w:t xml:space="preserve">. </w:t>
      </w:r>
      <w:r w:rsidR="00125E35" w:rsidRPr="009E5783">
        <w:rPr>
          <w:color w:val="000000" w:themeColor="text1"/>
        </w:rPr>
        <w:t xml:space="preserve">The NEP </w:t>
      </w:r>
      <w:r w:rsidR="00757E78" w:rsidRPr="009E5783">
        <w:rPr>
          <w:color w:val="000000" w:themeColor="text1"/>
        </w:rPr>
        <w:t xml:space="preserve">Part 2 </w:t>
      </w:r>
      <w:r w:rsidR="00125E35" w:rsidRPr="009E5783">
        <w:rPr>
          <w:color w:val="000000" w:themeColor="text1"/>
        </w:rPr>
        <w:t xml:space="preserve">also </w:t>
      </w:r>
      <w:r w:rsidR="00757E78" w:rsidRPr="009E5783">
        <w:rPr>
          <w:color w:val="000000" w:themeColor="text1"/>
        </w:rPr>
        <w:t xml:space="preserve">supports implementation </w:t>
      </w:r>
      <w:r w:rsidR="00125E35" w:rsidRPr="009E5783">
        <w:rPr>
          <w:color w:val="000000" w:themeColor="text1"/>
        </w:rPr>
        <w:t xml:space="preserve">of the </w:t>
      </w:r>
      <w:r w:rsidR="00125E35" w:rsidRPr="009E5783">
        <w:rPr>
          <w:color w:val="000000" w:themeColor="text1"/>
        </w:rPr>
        <w:lastRenderedPageBreak/>
        <w:t xml:space="preserve">Agricultural System through </w:t>
      </w:r>
      <w:r w:rsidR="00F507FE" w:rsidRPr="009E5783">
        <w:rPr>
          <w:color w:val="000000" w:themeColor="text1"/>
        </w:rPr>
        <w:t xml:space="preserve">the addition of ARUs and OFDUs in most NEP land use designations. </w:t>
      </w:r>
    </w:p>
    <w:p w14:paraId="4C821AAC" w14:textId="77777777" w:rsidR="003A6EF1" w:rsidRPr="009E5783" w:rsidRDefault="003A6EF1" w:rsidP="001D0661">
      <w:pPr>
        <w:spacing w:after="0"/>
        <w:rPr>
          <w:color w:val="000000" w:themeColor="text1"/>
        </w:rPr>
      </w:pPr>
    </w:p>
    <w:p w14:paraId="72354C76" w14:textId="10D73C0C" w:rsidR="00E856A1" w:rsidRPr="009E5783" w:rsidRDefault="003A6EF1" w:rsidP="001D0661">
      <w:pPr>
        <w:spacing w:after="0"/>
        <w:rPr>
          <w:color w:val="000000" w:themeColor="text1"/>
        </w:rPr>
      </w:pPr>
      <w:r w:rsidRPr="009E5783">
        <w:rPr>
          <w:color w:val="000000" w:themeColor="text1"/>
        </w:rPr>
        <w:t>T</w:t>
      </w:r>
      <w:r w:rsidR="00213730" w:rsidRPr="009E5783">
        <w:rPr>
          <w:color w:val="000000" w:themeColor="text1"/>
        </w:rPr>
        <w:t xml:space="preserve">he Agricultural System </w:t>
      </w:r>
      <w:r w:rsidR="0093220E" w:rsidRPr="009E5783">
        <w:rPr>
          <w:color w:val="000000" w:themeColor="text1"/>
        </w:rPr>
        <w:t xml:space="preserve">for the </w:t>
      </w:r>
      <w:r w:rsidRPr="009E5783">
        <w:rPr>
          <w:color w:val="000000" w:themeColor="text1"/>
        </w:rPr>
        <w:t>GGH</w:t>
      </w:r>
      <w:r w:rsidR="0093220E" w:rsidRPr="009E5783">
        <w:rPr>
          <w:color w:val="000000" w:themeColor="text1"/>
        </w:rPr>
        <w:t xml:space="preserve"> does not extend across the entire Plan Area (Grey and Bruce Counties fall outside the GGH)</w:t>
      </w:r>
      <w:r w:rsidRPr="009E5783">
        <w:rPr>
          <w:color w:val="000000" w:themeColor="text1"/>
        </w:rPr>
        <w:t>, which creates some challenges to consistent implementation of policies. Outside the GGH</w:t>
      </w:r>
      <w:r w:rsidR="003E1FAE" w:rsidRPr="009E5783">
        <w:rPr>
          <w:color w:val="000000" w:themeColor="text1"/>
        </w:rPr>
        <w:t xml:space="preserve">, the PPS </w:t>
      </w:r>
      <w:r w:rsidR="00797CDF" w:rsidRPr="009E5783">
        <w:rPr>
          <w:color w:val="000000" w:themeColor="text1"/>
        </w:rPr>
        <w:t>(202</w:t>
      </w:r>
      <w:r w:rsidR="006E11A7" w:rsidRPr="009E5783">
        <w:rPr>
          <w:color w:val="000000" w:themeColor="text1"/>
        </w:rPr>
        <w:t>0)</w:t>
      </w:r>
      <w:r w:rsidR="00797CDF" w:rsidRPr="009E5783">
        <w:rPr>
          <w:color w:val="000000" w:themeColor="text1"/>
        </w:rPr>
        <w:t xml:space="preserve"> </w:t>
      </w:r>
      <w:r w:rsidR="0052540A" w:rsidRPr="009E5783">
        <w:rPr>
          <w:color w:val="000000" w:themeColor="text1"/>
        </w:rPr>
        <w:t xml:space="preserve">Part 2.3.2 </w:t>
      </w:r>
      <w:r w:rsidR="003E1FAE" w:rsidRPr="009E5783">
        <w:rPr>
          <w:color w:val="000000" w:themeColor="text1"/>
        </w:rPr>
        <w:t xml:space="preserve">encourages planning </w:t>
      </w:r>
      <w:r w:rsidR="004959FA" w:rsidRPr="009E5783">
        <w:rPr>
          <w:color w:val="000000" w:themeColor="text1"/>
        </w:rPr>
        <w:t>authorities</w:t>
      </w:r>
      <w:r w:rsidR="003E1FAE" w:rsidRPr="009E5783">
        <w:rPr>
          <w:color w:val="000000" w:themeColor="text1"/>
        </w:rPr>
        <w:t xml:space="preserve"> to take an agricultural system approach to </w:t>
      </w:r>
      <w:r w:rsidR="003E1FAE" w:rsidRPr="009E5783">
        <w:rPr>
          <w:i/>
          <w:iCs/>
          <w:color w:val="000000" w:themeColor="text1"/>
        </w:rPr>
        <w:t xml:space="preserve">“maintain and enhance the geographic </w:t>
      </w:r>
      <w:r w:rsidR="004959FA" w:rsidRPr="009E5783">
        <w:rPr>
          <w:i/>
          <w:iCs/>
          <w:color w:val="000000" w:themeColor="text1"/>
        </w:rPr>
        <w:t>c</w:t>
      </w:r>
      <w:r w:rsidR="003E1FAE" w:rsidRPr="009E5783">
        <w:rPr>
          <w:i/>
          <w:iCs/>
          <w:color w:val="000000" w:themeColor="text1"/>
        </w:rPr>
        <w:t>ontinuity of</w:t>
      </w:r>
      <w:r w:rsidR="004959FA" w:rsidRPr="009E5783">
        <w:rPr>
          <w:i/>
          <w:iCs/>
          <w:color w:val="000000" w:themeColor="text1"/>
        </w:rPr>
        <w:t xml:space="preserve"> </w:t>
      </w:r>
      <w:r w:rsidR="003E1FAE" w:rsidRPr="009E5783">
        <w:rPr>
          <w:i/>
          <w:iCs/>
          <w:color w:val="000000" w:themeColor="text1"/>
        </w:rPr>
        <w:t>t</w:t>
      </w:r>
      <w:r w:rsidR="004959FA" w:rsidRPr="009E5783">
        <w:rPr>
          <w:i/>
          <w:iCs/>
          <w:color w:val="000000" w:themeColor="text1"/>
        </w:rPr>
        <w:t>h</w:t>
      </w:r>
      <w:r w:rsidR="003E1FAE" w:rsidRPr="009E5783">
        <w:rPr>
          <w:i/>
          <w:iCs/>
          <w:color w:val="000000" w:themeColor="text1"/>
        </w:rPr>
        <w:t>e agricultural land base</w:t>
      </w:r>
      <w:r w:rsidR="003F5F44" w:rsidRPr="009E5783">
        <w:rPr>
          <w:i/>
          <w:iCs/>
          <w:color w:val="000000" w:themeColor="text1"/>
        </w:rPr>
        <w:t xml:space="preserve"> and the functional a</w:t>
      </w:r>
      <w:r w:rsidR="00797CDF" w:rsidRPr="009E5783">
        <w:rPr>
          <w:i/>
          <w:iCs/>
          <w:color w:val="000000" w:themeColor="text1"/>
        </w:rPr>
        <w:t>nd</w:t>
      </w:r>
      <w:r w:rsidR="003F5F44" w:rsidRPr="009E5783">
        <w:rPr>
          <w:i/>
          <w:iCs/>
          <w:color w:val="000000" w:themeColor="text1"/>
        </w:rPr>
        <w:t xml:space="preserve"> economic connections to the agri-food network</w:t>
      </w:r>
      <w:r w:rsidR="003F5F44" w:rsidRPr="009E5783">
        <w:rPr>
          <w:color w:val="000000" w:themeColor="text1"/>
        </w:rPr>
        <w:t>. There could be some consideration for the NEC to consider extending the GGH approach to the entire NEP Are</w:t>
      </w:r>
      <w:r w:rsidR="004959FA" w:rsidRPr="009E5783">
        <w:rPr>
          <w:color w:val="000000" w:themeColor="text1"/>
        </w:rPr>
        <w:t xml:space="preserve">a. Staff recommend that more </w:t>
      </w:r>
      <w:r w:rsidR="0052540A" w:rsidRPr="009E5783">
        <w:rPr>
          <w:color w:val="000000" w:themeColor="text1"/>
        </w:rPr>
        <w:t>analysis of this concept is required, including where definitions would be required to be modified (e.g. Agricultural System currently refers to the system mapped and issued by the province only inside the GGH).</w:t>
      </w:r>
    </w:p>
    <w:p w14:paraId="3807B29F" w14:textId="77777777" w:rsidR="00E856A1" w:rsidRDefault="00E856A1" w:rsidP="001D0661">
      <w:pPr>
        <w:spacing w:after="0"/>
      </w:pPr>
    </w:p>
    <w:p w14:paraId="5179FB0E" w14:textId="344F2CF1" w:rsidR="000050B4" w:rsidRPr="009E5783" w:rsidRDefault="00F507FE" w:rsidP="001D0661">
      <w:pPr>
        <w:spacing w:after="0"/>
        <w:rPr>
          <w:color w:val="000000" w:themeColor="text1"/>
        </w:rPr>
      </w:pPr>
      <w:r w:rsidRPr="009E5783">
        <w:rPr>
          <w:color w:val="000000" w:themeColor="text1"/>
        </w:rPr>
        <w:t xml:space="preserve">Part 2 of the NEP also contains provisions for Agricultural Impact Assessments </w:t>
      </w:r>
      <w:r w:rsidR="00125E35" w:rsidRPr="009E5783">
        <w:rPr>
          <w:color w:val="000000" w:themeColor="text1"/>
        </w:rPr>
        <w:t xml:space="preserve">(AIAs) </w:t>
      </w:r>
      <w:r w:rsidRPr="009E5783">
        <w:rPr>
          <w:color w:val="000000" w:themeColor="text1"/>
        </w:rPr>
        <w:t>when proposed development is anticipated to have an impact on the functioning of the Agricultural System</w:t>
      </w:r>
      <w:r w:rsidR="00E856A1" w:rsidRPr="009E5783">
        <w:rPr>
          <w:color w:val="000000" w:themeColor="text1"/>
        </w:rPr>
        <w:t xml:space="preserve"> (e.g., NEP requires AIAs for proposed mineral </w:t>
      </w:r>
      <w:r w:rsidR="009D59AA" w:rsidRPr="009E5783">
        <w:rPr>
          <w:color w:val="000000" w:themeColor="text1"/>
        </w:rPr>
        <w:t xml:space="preserve">resource </w:t>
      </w:r>
      <w:r w:rsidR="006123BC" w:rsidRPr="009E5783">
        <w:rPr>
          <w:color w:val="000000" w:themeColor="text1"/>
        </w:rPr>
        <w:t>extraction and</w:t>
      </w:r>
      <w:r w:rsidR="00171845" w:rsidRPr="009E5783">
        <w:rPr>
          <w:color w:val="000000" w:themeColor="text1"/>
        </w:rPr>
        <w:t xml:space="preserve"> </w:t>
      </w:r>
      <w:r w:rsidR="009D59AA" w:rsidRPr="009E5783">
        <w:rPr>
          <w:color w:val="000000" w:themeColor="text1"/>
        </w:rPr>
        <w:t>i</w:t>
      </w:r>
      <w:r w:rsidR="00171845" w:rsidRPr="009E5783">
        <w:rPr>
          <w:color w:val="000000" w:themeColor="text1"/>
        </w:rPr>
        <w:t>nfrastructure</w:t>
      </w:r>
      <w:r w:rsidR="009D59AA" w:rsidRPr="009E5783">
        <w:rPr>
          <w:color w:val="000000" w:themeColor="text1"/>
        </w:rPr>
        <w:t xml:space="preserve"> development</w:t>
      </w:r>
      <w:r w:rsidR="00E856A1" w:rsidRPr="009E5783">
        <w:rPr>
          <w:color w:val="000000" w:themeColor="text1"/>
        </w:rPr>
        <w:t>)</w:t>
      </w:r>
      <w:r w:rsidRPr="009E5783">
        <w:rPr>
          <w:color w:val="000000" w:themeColor="text1"/>
        </w:rPr>
        <w:t xml:space="preserve">. </w:t>
      </w:r>
    </w:p>
    <w:p w14:paraId="6F97DF77" w14:textId="77777777" w:rsidR="003A6EF1" w:rsidRPr="009E5783" w:rsidRDefault="003A6EF1" w:rsidP="00F16C83">
      <w:pPr>
        <w:spacing w:after="100" w:afterAutospacing="1"/>
        <w:contextualSpacing/>
        <w:rPr>
          <w:color w:val="000000" w:themeColor="text1"/>
        </w:rPr>
      </w:pPr>
    </w:p>
    <w:p w14:paraId="19D79D56" w14:textId="2E6EE6C5" w:rsidR="0015740D" w:rsidRPr="009E5783" w:rsidRDefault="005A353B" w:rsidP="00F16C83">
      <w:pPr>
        <w:spacing w:after="100" w:afterAutospacing="1"/>
        <w:contextualSpacing/>
        <w:rPr>
          <w:color w:val="000000" w:themeColor="text1"/>
        </w:rPr>
      </w:pPr>
      <w:r w:rsidRPr="009E5783">
        <w:rPr>
          <w:color w:val="000000" w:themeColor="text1"/>
        </w:rPr>
        <w:t xml:space="preserve">Again, the degree to which the </w:t>
      </w:r>
      <w:r w:rsidR="006123BC" w:rsidRPr="009E5783">
        <w:rPr>
          <w:color w:val="000000" w:themeColor="text1"/>
        </w:rPr>
        <w:t>A</w:t>
      </w:r>
      <w:r w:rsidRPr="009E5783">
        <w:rPr>
          <w:color w:val="000000" w:themeColor="text1"/>
        </w:rPr>
        <w:t xml:space="preserve">gricultural </w:t>
      </w:r>
      <w:r w:rsidR="006123BC" w:rsidRPr="009E5783">
        <w:rPr>
          <w:color w:val="000000" w:themeColor="text1"/>
        </w:rPr>
        <w:t>S</w:t>
      </w:r>
      <w:r w:rsidRPr="009E5783">
        <w:rPr>
          <w:color w:val="000000" w:themeColor="text1"/>
        </w:rPr>
        <w:t xml:space="preserve">ystem </w:t>
      </w:r>
      <w:r w:rsidR="000D0D4F" w:rsidRPr="009E5783">
        <w:rPr>
          <w:color w:val="000000" w:themeColor="text1"/>
        </w:rPr>
        <w:t>concept</w:t>
      </w:r>
      <w:r w:rsidR="00D21F05" w:rsidRPr="009E5783">
        <w:rPr>
          <w:color w:val="000000" w:themeColor="text1"/>
        </w:rPr>
        <w:t xml:space="preserve"> a</w:t>
      </w:r>
      <w:r w:rsidR="00F812C7" w:rsidRPr="009E5783">
        <w:rPr>
          <w:color w:val="000000" w:themeColor="text1"/>
        </w:rPr>
        <w:t xml:space="preserve">re included in </w:t>
      </w:r>
      <w:r w:rsidR="00D21F05" w:rsidRPr="009E5783">
        <w:rPr>
          <w:color w:val="000000" w:themeColor="text1"/>
        </w:rPr>
        <w:t xml:space="preserve">the NEP in </w:t>
      </w:r>
      <w:r w:rsidR="00F812C7" w:rsidRPr="009E5783">
        <w:rPr>
          <w:color w:val="000000" w:themeColor="text1"/>
        </w:rPr>
        <w:t xml:space="preserve">order to align </w:t>
      </w:r>
      <w:r w:rsidRPr="009E5783">
        <w:rPr>
          <w:color w:val="000000" w:themeColor="text1"/>
        </w:rPr>
        <w:t>with other provincial plans and the PPS</w:t>
      </w:r>
      <w:r w:rsidR="006123BC" w:rsidRPr="009E5783">
        <w:rPr>
          <w:color w:val="000000" w:themeColor="text1"/>
        </w:rPr>
        <w:t>,</w:t>
      </w:r>
      <w:r w:rsidRPr="009E5783">
        <w:rPr>
          <w:color w:val="000000" w:themeColor="text1"/>
        </w:rPr>
        <w:t xml:space="preserve"> </w:t>
      </w:r>
      <w:r w:rsidR="00F812C7" w:rsidRPr="009E5783">
        <w:rPr>
          <w:color w:val="000000" w:themeColor="text1"/>
        </w:rPr>
        <w:t>must be considered in the context of the unique Purpose and Objectives of the NEP</w:t>
      </w:r>
      <w:r w:rsidR="00D21F05" w:rsidRPr="009E5783">
        <w:rPr>
          <w:color w:val="000000" w:themeColor="text1"/>
        </w:rPr>
        <w:t>,</w:t>
      </w:r>
      <w:r w:rsidR="00004E7E" w:rsidRPr="009E5783">
        <w:rPr>
          <w:color w:val="000000" w:themeColor="text1"/>
        </w:rPr>
        <w:t xml:space="preserve"> and </w:t>
      </w:r>
      <w:r w:rsidR="00604975" w:rsidRPr="009E5783">
        <w:rPr>
          <w:color w:val="000000" w:themeColor="text1"/>
        </w:rPr>
        <w:t>is the reason that</w:t>
      </w:r>
      <w:r w:rsidR="00004E7E" w:rsidRPr="009E5783">
        <w:rPr>
          <w:color w:val="000000" w:themeColor="text1"/>
        </w:rPr>
        <w:t xml:space="preserve"> lands within the NEP Area are held to a</w:t>
      </w:r>
      <w:r w:rsidR="00604975" w:rsidRPr="009E5783">
        <w:rPr>
          <w:color w:val="000000" w:themeColor="text1"/>
        </w:rPr>
        <w:t xml:space="preserve"> </w:t>
      </w:r>
      <w:r w:rsidR="00004E7E" w:rsidRPr="009E5783">
        <w:rPr>
          <w:color w:val="000000" w:themeColor="text1"/>
        </w:rPr>
        <w:t xml:space="preserve">higher land use planning standard than </w:t>
      </w:r>
      <w:r w:rsidR="00604975" w:rsidRPr="009E5783">
        <w:rPr>
          <w:color w:val="000000" w:themeColor="text1"/>
        </w:rPr>
        <w:t xml:space="preserve">most other rural lands in the province. </w:t>
      </w:r>
    </w:p>
    <w:p w14:paraId="0F688DC8" w14:textId="70B36AA4" w:rsidR="00604975" w:rsidRDefault="00604975" w:rsidP="00F16C83">
      <w:pPr>
        <w:spacing w:after="100" w:afterAutospacing="1"/>
        <w:contextualSpacing/>
        <w:rPr>
          <w:color w:val="FF0000"/>
        </w:rPr>
      </w:pPr>
    </w:p>
    <w:p w14:paraId="29175E69" w14:textId="77777777" w:rsidR="003D1676" w:rsidRDefault="003D1676" w:rsidP="00F16C83">
      <w:pPr>
        <w:spacing w:after="100" w:afterAutospacing="1"/>
        <w:contextualSpacing/>
        <w:rPr>
          <w:i/>
          <w:iCs/>
        </w:rPr>
      </w:pPr>
    </w:p>
    <w:p w14:paraId="55668744" w14:textId="37303741" w:rsidR="003D1676" w:rsidRDefault="003D1676" w:rsidP="00F16C83">
      <w:pPr>
        <w:spacing w:after="100" w:afterAutospacing="1"/>
        <w:contextualSpacing/>
        <w:rPr>
          <w:i/>
          <w:iCs/>
        </w:rPr>
      </w:pPr>
      <w:r w:rsidRPr="003D1676">
        <w:rPr>
          <w:rFonts w:cstheme="minorHAnsi"/>
          <w:b/>
          <w:bCs/>
          <w:noProof/>
          <w:lang w:val="en-US"/>
        </w:rPr>
        <mc:AlternateContent>
          <mc:Choice Requires="wpg">
            <w:drawing>
              <wp:inline distT="0" distB="0" distL="0" distR="0" wp14:anchorId="4FC48B8F" wp14:editId="0596B1A6">
                <wp:extent cx="5930900" cy="1130300"/>
                <wp:effectExtent l="0" t="0" r="12700" b="12700"/>
                <wp:docPr id="11" name="Group 11"/>
                <wp:cNvGraphicFramePr/>
                <a:graphic xmlns:a="http://schemas.openxmlformats.org/drawingml/2006/main">
                  <a:graphicData uri="http://schemas.microsoft.com/office/word/2010/wordprocessingGroup">
                    <wpg:wgp>
                      <wpg:cNvGrpSpPr/>
                      <wpg:grpSpPr>
                        <a:xfrm>
                          <a:off x="0" y="0"/>
                          <a:ext cx="5930900" cy="1130300"/>
                          <a:chOff x="-11556" y="0"/>
                          <a:chExt cx="3598268" cy="1019932"/>
                        </a:xfrm>
                      </wpg:grpSpPr>
                      <wps:wsp>
                        <wps:cNvPr id="12" name="Rectangle 12"/>
                        <wps:cNvSpPr/>
                        <wps:spPr>
                          <a:xfrm>
                            <a:off x="-1" y="0"/>
                            <a:ext cx="3582860" cy="270605"/>
                          </a:xfrm>
                          <a:prstGeom prst="rect">
                            <a:avLst/>
                          </a:prstGeom>
                          <a:solidFill>
                            <a:srgbClr val="DDDDDD"/>
                          </a:solidFill>
                          <a:ln w="25400" cap="flat" cmpd="sng" algn="ctr">
                            <a:solidFill>
                              <a:srgbClr val="DDDDDD"/>
                            </a:solidFill>
                            <a:prstDash val="solid"/>
                          </a:ln>
                          <a:effectLst/>
                        </wps:spPr>
                        <wps:txbx>
                          <w:txbxContent>
                            <w:p w14:paraId="35A0FAA6" w14:textId="77777777" w:rsidR="003D1676" w:rsidRPr="005C6209" w:rsidRDefault="003D1676" w:rsidP="003D1676">
                              <w:pPr>
                                <w:jc w:val="center"/>
                                <w:rPr>
                                  <w:rFonts w:asciiTheme="majorHAnsi" w:eastAsiaTheme="majorEastAsia" w:hAnsiTheme="majorHAnsi" w:cstheme="majorBidi"/>
                                  <w:color w:val="000000" w:themeColor="text1"/>
                                  <w:szCs w:val="28"/>
                                  <w:lang w:val="en-US"/>
                                </w:rPr>
                              </w:pPr>
                              <w:r w:rsidRPr="005C6209">
                                <w:rPr>
                                  <w:rFonts w:asciiTheme="majorHAnsi" w:eastAsiaTheme="majorEastAsia" w:hAnsiTheme="majorHAnsi" w:cstheme="majorBidi"/>
                                  <w:color w:val="000000" w:themeColor="text1"/>
                                  <w:szCs w:val="28"/>
                                  <w:lang w:val="en-US"/>
                                </w:rPr>
                                <w:t xml:space="preserve">SUMMARY RECOMMENDATION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13"/>
                        <wps:cNvSpPr txBox="1"/>
                        <wps:spPr>
                          <a:xfrm>
                            <a:off x="-11556" y="270535"/>
                            <a:ext cx="3598268" cy="749397"/>
                          </a:xfrm>
                          <a:prstGeom prst="rect">
                            <a:avLst/>
                          </a:prstGeom>
                          <a:noFill/>
                          <a:ln w="6350">
                            <a:solidFill>
                              <a:srgbClr val="DDDDDD"/>
                            </a:solidFill>
                          </a:ln>
                          <a:effectLst/>
                        </wps:spPr>
                        <wps:txbx>
                          <w:txbxContent>
                            <w:p w14:paraId="09F7A906" w14:textId="60F3959E" w:rsidR="003D1676" w:rsidRPr="00A67759" w:rsidRDefault="003D1676" w:rsidP="003D1676">
                              <w:pPr>
                                <w:rPr>
                                  <w:caps/>
                                  <w:color w:val="000000" w:themeColor="text1"/>
                                  <w:sz w:val="26"/>
                                  <w:szCs w:val="26"/>
                                  <w:lang w:val="en-US"/>
                                </w:rPr>
                              </w:pPr>
                              <w:r w:rsidRPr="00A67759">
                                <w:rPr>
                                  <w:color w:val="000000" w:themeColor="text1"/>
                                </w:rPr>
                                <w:t>Staff recommends that further analysis be undertaken with respect to how the implementation of the Agricultural System can be supported within the NEP Area</w:t>
                              </w:r>
                              <w:r w:rsidR="007D76D3" w:rsidRPr="00A67759">
                                <w:rPr>
                                  <w:color w:val="000000" w:themeColor="text1"/>
                                </w:rPr>
                                <w:t>, in consultation with OMAFRA.</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inline>
            </w:drawing>
          </mc:Choice>
          <mc:Fallback>
            <w:pict>
              <v:group w14:anchorId="4FC48B8F" id="Group 11" o:spid="_x0000_s1032" style="width:467pt;height:89pt;mso-position-horizontal-relative:char;mso-position-vertical-relative:line" coordorigin="-115" coordsize="35982,10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">
                <v:rect id="Rectangle 12" o:spid="_x0000_s1033" style="position:absolute;width:35828;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" fillcolor="#ddd" strokecolor="#ddd" strokeweight="2pt">
                  <v:textbox>
                    <w:txbxContent>
                      <w:p w14:paraId="35A0FAA6" w14:textId="77777777" w:rsidR="003D1676" w:rsidRPr="005C6209" w:rsidRDefault="003D1676" w:rsidP="003D1676">
                        <w:pPr>
                          <w:jc w:val="center"/>
                          <w:rPr>
                            <w:rFonts w:asciiTheme="majorHAnsi" w:eastAsiaTheme="majorEastAsia" w:hAnsiTheme="majorHAnsi" w:cstheme="majorBidi"/>
                            <w:color w:val="000000" w:themeColor="text1"/>
                            <w:szCs w:val="28"/>
                            <w:lang w:val="en-US"/>
                          </w:rPr>
                        </w:pPr>
                        <w:r w:rsidRPr="005C6209">
                          <w:rPr>
                            <w:rFonts w:asciiTheme="majorHAnsi" w:eastAsiaTheme="majorEastAsia" w:hAnsiTheme="majorHAnsi" w:cstheme="majorBidi"/>
                            <w:color w:val="000000" w:themeColor="text1"/>
                            <w:szCs w:val="28"/>
                            <w:lang w:val="en-US"/>
                          </w:rPr>
                          <w:t xml:space="preserve">SUMMARY RECOMMENDATION </w:t>
                        </w:r>
                      </w:p>
                    </w:txbxContent>
                  </v:textbox>
                </v:rect>
                <v:shape id="Text Box 13" o:spid="_x0000_s1034" type="#_x0000_t202" style="position:absolute;left:-115;top:2705;width:35982;height:7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" filled="f" strokecolor="#ddd" strokeweight=".5pt">
                  <v:textbox inset=",7.2pt,,0">
                    <w:txbxContent>
                      <w:p w14:paraId="09F7A906" w14:textId="60F3959E" w:rsidR="003D1676" w:rsidRPr="00A67759" w:rsidRDefault="003D1676" w:rsidP="003D1676">
                        <w:pPr>
                          <w:rPr>
                            <w:caps/>
                            <w:color w:val="000000" w:themeColor="text1"/>
                            <w:sz w:val="26"/>
                            <w:szCs w:val="26"/>
                            <w:lang w:val="en-US"/>
                          </w:rPr>
                        </w:pPr>
                        <w:r w:rsidRPr="00A67759">
                          <w:rPr>
                            <w:color w:val="000000" w:themeColor="text1"/>
                          </w:rPr>
                          <w:t>Staff recommends that further analysis be undertaken with respect to how the implementation of the Agricultural System can be supported within the NEP Area</w:t>
                        </w:r>
                        <w:r w:rsidR="007D76D3" w:rsidRPr="00A67759">
                          <w:rPr>
                            <w:color w:val="000000" w:themeColor="text1"/>
                          </w:rPr>
                          <w:t>, in consultation with OMAFRA.</w:t>
                        </w:r>
                      </w:p>
                    </w:txbxContent>
                  </v:textbox>
                </v:shape>
                <w10:anchorlock/>
              </v:group>
            </w:pict>
          </mc:Fallback>
        </mc:AlternateContent>
      </w:r>
    </w:p>
    <w:p w14:paraId="56B9EC09" w14:textId="77777777" w:rsidR="003D1676" w:rsidRDefault="003D1676" w:rsidP="00F16C83">
      <w:pPr>
        <w:spacing w:after="100" w:afterAutospacing="1"/>
        <w:contextualSpacing/>
        <w:rPr>
          <w:i/>
          <w:iCs/>
        </w:rPr>
      </w:pPr>
    </w:p>
    <w:p w14:paraId="6255B878" w14:textId="60B3D89D" w:rsidR="00B85264" w:rsidRDefault="00B85264" w:rsidP="00F16C83">
      <w:pPr>
        <w:spacing w:after="100" w:afterAutospacing="1"/>
        <w:contextualSpacing/>
        <w:rPr>
          <w:i/>
          <w:iCs/>
        </w:rPr>
      </w:pPr>
      <w:r w:rsidRPr="00B85264">
        <w:rPr>
          <w:i/>
          <w:iCs/>
        </w:rPr>
        <w:t xml:space="preserve">Natural Heritage </w:t>
      </w:r>
      <w:r w:rsidR="00A67759">
        <w:rPr>
          <w:i/>
          <w:iCs/>
        </w:rPr>
        <w:t xml:space="preserve">Features and </w:t>
      </w:r>
      <w:r w:rsidRPr="00B85264">
        <w:rPr>
          <w:i/>
          <w:iCs/>
        </w:rPr>
        <w:t>Systems</w:t>
      </w:r>
    </w:p>
    <w:p w14:paraId="007B8765" w14:textId="77777777" w:rsidR="001525AB" w:rsidRPr="00B85264" w:rsidRDefault="001525AB" w:rsidP="00F16C83">
      <w:pPr>
        <w:spacing w:after="100" w:afterAutospacing="1"/>
        <w:contextualSpacing/>
        <w:rPr>
          <w:i/>
          <w:iCs/>
        </w:rPr>
      </w:pPr>
    </w:p>
    <w:p w14:paraId="77DEFCD1" w14:textId="1E1337F0" w:rsidR="00160C6F" w:rsidRPr="005F01C3" w:rsidRDefault="0015740D" w:rsidP="00F16C83">
      <w:pPr>
        <w:spacing w:after="100" w:afterAutospacing="1"/>
        <w:contextualSpacing/>
      </w:pPr>
      <w:r w:rsidRPr="003E6C86">
        <w:t xml:space="preserve">When developing the agricultural land base map, OMAFRA identified large, continuous areas (larger than 250 ha) of provincially significant wetlands and provincially significant Life Science </w:t>
      </w:r>
      <w:r w:rsidR="003A5D10">
        <w:t>Areas of Natural and Scientific Interest (</w:t>
      </w:r>
      <w:r w:rsidRPr="003E6C86">
        <w:t>ANSIs</w:t>
      </w:r>
      <w:r w:rsidR="003A5D10">
        <w:t>)</w:t>
      </w:r>
      <w:r w:rsidRPr="003E6C86">
        <w:t xml:space="preserve">, and </w:t>
      </w:r>
      <w:r w:rsidR="005F01C3" w:rsidRPr="003E6C86">
        <w:t xml:space="preserve">the </w:t>
      </w:r>
      <w:r w:rsidRPr="003E6C86">
        <w:t>Escarpment Natural Area</w:t>
      </w:r>
      <w:r w:rsidR="00E05297" w:rsidRPr="003E6C86">
        <w:t xml:space="preserve"> designation, and t</w:t>
      </w:r>
      <w:r w:rsidRPr="003E6C86">
        <w:t xml:space="preserve">hese areas were removed from the prime agricultural area because even though </w:t>
      </w:r>
      <w:r w:rsidR="00E05297" w:rsidRPr="003E6C86">
        <w:t xml:space="preserve">(existing) </w:t>
      </w:r>
      <w:r w:rsidRPr="003E6C86">
        <w:t>agriculture may continue in these areas, they do not qualify as prime agricultural areas</w:t>
      </w:r>
      <w:r w:rsidR="009C1F21">
        <w:t xml:space="preserve"> as a result of their inherit natural heritage value</w:t>
      </w:r>
      <w:r w:rsidRPr="003E6C86">
        <w:t>.</w:t>
      </w:r>
      <w:r w:rsidRPr="005F01C3">
        <w:t xml:space="preserve"> </w:t>
      </w:r>
    </w:p>
    <w:p w14:paraId="36A5A66C" w14:textId="2C276084" w:rsidR="006F1891" w:rsidRDefault="006F1891" w:rsidP="006F1891">
      <w:pPr>
        <w:spacing w:after="100" w:afterAutospacing="1"/>
        <w:contextualSpacing/>
      </w:pPr>
      <w:r>
        <w:lastRenderedPageBreak/>
        <w:t xml:space="preserve">ANSIs are areas of land and/or water containing natural landscapes or features </w:t>
      </w:r>
      <w:r w:rsidR="00A82BF8">
        <w:t xml:space="preserve">that </w:t>
      </w:r>
      <w:r>
        <w:t xml:space="preserve">have been identified as having life science (LS) and/or earth science (ES), values related to natural heritage protection, scientific </w:t>
      </w:r>
      <w:proofErr w:type="gramStart"/>
      <w:r>
        <w:t>study</w:t>
      </w:r>
      <w:proofErr w:type="gramEnd"/>
      <w:r>
        <w:t xml:space="preserve"> or education. </w:t>
      </w:r>
      <w:r w:rsidR="00A138FA">
        <w:t xml:space="preserve">ANSIs are identified as provincially significant by the MNDMNRF, using evaluation </w:t>
      </w:r>
      <w:r w:rsidR="004B0033">
        <w:t xml:space="preserve">procedures established by the </w:t>
      </w:r>
      <w:r w:rsidR="00A82BF8">
        <w:t>P</w:t>
      </w:r>
      <w:r w:rsidR="004B0033">
        <w:t xml:space="preserve">rovince (and amended from time to time). </w:t>
      </w:r>
      <w:r>
        <w:t>ANSIs vary in their type and level of significance. Earth Science ANSIs are geological in nature and consist of some of the most significant representative examples of the bedrock, fossil and landforms in Ontario and include examples of ongoing geological processes.</w:t>
      </w:r>
    </w:p>
    <w:p w14:paraId="0BEE50A2" w14:textId="77777777" w:rsidR="006F1891" w:rsidRDefault="006F1891" w:rsidP="006F1891">
      <w:pPr>
        <w:spacing w:after="100" w:afterAutospacing="1" w:line="240" w:lineRule="auto"/>
        <w:contextualSpacing/>
      </w:pPr>
    </w:p>
    <w:p w14:paraId="284E4C92" w14:textId="27B6F0B3" w:rsidR="005D1A9E" w:rsidRDefault="00A44BB4" w:rsidP="00F16C83">
      <w:pPr>
        <w:spacing w:after="100" w:afterAutospacing="1"/>
        <w:contextualSpacing/>
      </w:pPr>
      <w:r>
        <w:t xml:space="preserve">The </w:t>
      </w:r>
      <w:r w:rsidR="00195AB5">
        <w:t xml:space="preserve">NEP </w:t>
      </w:r>
      <w:r w:rsidR="001D7B08">
        <w:t>Part 2.7 identifies Key Natural Heritage Features</w:t>
      </w:r>
      <w:r w:rsidR="00DF44A4">
        <w:t xml:space="preserve"> (KNHFs)</w:t>
      </w:r>
      <w:r w:rsidR="001D7B08">
        <w:t>, which include both Life Science and Earth Science ANSIs. Development is prohibited within an identified K</w:t>
      </w:r>
      <w:r w:rsidR="00FD1B7E">
        <w:t>NH</w:t>
      </w:r>
      <w:r w:rsidR="00F16C83">
        <w:t>F</w:t>
      </w:r>
      <w:r w:rsidR="008042D7">
        <w:t>s</w:t>
      </w:r>
      <w:r w:rsidR="00F16C83">
        <w:t xml:space="preserve">, with </w:t>
      </w:r>
      <w:r w:rsidR="008042D7">
        <w:t xml:space="preserve">limited </w:t>
      </w:r>
      <w:r w:rsidR="00F16C83">
        <w:t>exceptions provided</w:t>
      </w:r>
      <w:r w:rsidR="00160C6F">
        <w:t xml:space="preserve"> for</w:t>
      </w:r>
      <w:r w:rsidR="001D7B08">
        <w:t xml:space="preserve"> those development</w:t>
      </w:r>
      <w:r w:rsidR="00160C6F">
        <w:t xml:space="preserve"> types</w:t>
      </w:r>
      <w:r w:rsidR="001D7B08">
        <w:t xml:space="preserve"> listed in Part 2.7.1</w:t>
      </w:r>
      <w:r w:rsidR="008A4CB9">
        <w:t>, and subject to meeting applicable Development Criteria</w:t>
      </w:r>
      <w:r w:rsidR="001D7B08">
        <w:t xml:space="preserve">. </w:t>
      </w:r>
      <w:r w:rsidR="00AE1379">
        <w:t>While accessory uses/facilities to single dwellings are identified as an exception to the prohibition of development within the KNHF, a</w:t>
      </w:r>
      <w:r w:rsidR="00160C6F">
        <w:t>gricultur</w:t>
      </w:r>
      <w:r w:rsidR="00860D88">
        <w:t xml:space="preserve">e/agricultural </w:t>
      </w:r>
      <w:r w:rsidR="00DF44A4">
        <w:t>uses are</w:t>
      </w:r>
      <w:r w:rsidR="00160C6F">
        <w:t xml:space="preserve"> </w:t>
      </w:r>
      <w:r w:rsidR="00160C6F" w:rsidRPr="00DA16D3">
        <w:rPr>
          <w:u w:val="single"/>
        </w:rPr>
        <w:t xml:space="preserve">not </w:t>
      </w:r>
      <w:r w:rsidR="00160C6F">
        <w:t>included in the list of exceptions</w:t>
      </w:r>
      <w:r w:rsidR="007B1A1E">
        <w:t xml:space="preserve"> to </w:t>
      </w:r>
      <w:r w:rsidR="00DF44A4">
        <w:t>the prohibitio</w:t>
      </w:r>
      <w:r w:rsidR="00AE1379">
        <w:t>n</w:t>
      </w:r>
      <w:r w:rsidR="007B1A1E">
        <w:t xml:space="preserve">. </w:t>
      </w:r>
      <w:r w:rsidR="00C13C78">
        <w:t xml:space="preserve">It is notable that </w:t>
      </w:r>
      <w:r w:rsidR="00415DFA">
        <w:t>neither</w:t>
      </w:r>
      <w:r w:rsidR="00C13C78">
        <w:t xml:space="preserve"> the Greenbelt Plan </w:t>
      </w:r>
      <w:proofErr w:type="gramStart"/>
      <w:r w:rsidR="00415DFA">
        <w:t>or</w:t>
      </w:r>
      <w:proofErr w:type="gramEnd"/>
      <w:r w:rsidR="00C13C78">
        <w:t xml:space="preserve"> the Oak Ridges Moraine </w:t>
      </w:r>
      <w:r w:rsidR="00415DFA">
        <w:t xml:space="preserve">Conservation </w:t>
      </w:r>
      <w:r w:rsidR="00C13C78">
        <w:t>Plan</w:t>
      </w:r>
      <w:r w:rsidR="0050077C">
        <w:t xml:space="preserve"> (ORMCP)</w:t>
      </w:r>
      <w:r w:rsidR="00C13C78">
        <w:t xml:space="preserve"> include Earth Science ANSIs as </w:t>
      </w:r>
      <w:r w:rsidR="00415DFA">
        <w:t xml:space="preserve">a </w:t>
      </w:r>
      <w:r w:rsidR="00C13C78">
        <w:t>KNHF</w:t>
      </w:r>
      <w:r w:rsidR="0050077C">
        <w:t xml:space="preserve"> (although the ORMCP does include additional policies </w:t>
      </w:r>
      <w:r w:rsidR="006770EE">
        <w:t>to protect these features).</w:t>
      </w:r>
      <w:r w:rsidR="00A93770">
        <w:t xml:space="preserve"> </w:t>
      </w:r>
    </w:p>
    <w:p w14:paraId="4EDA8D53" w14:textId="77777777" w:rsidR="00415DFA" w:rsidRDefault="00415DFA" w:rsidP="00F16C83">
      <w:pPr>
        <w:spacing w:after="100" w:afterAutospacing="1"/>
        <w:contextualSpacing/>
      </w:pPr>
    </w:p>
    <w:p w14:paraId="052FC636" w14:textId="38B50BB0" w:rsidR="001D7B08" w:rsidRDefault="00FD41A7" w:rsidP="00F16C83">
      <w:pPr>
        <w:spacing w:after="100" w:afterAutospacing="1"/>
        <w:contextualSpacing/>
        <w:rPr>
          <w:szCs w:val="24"/>
        </w:rPr>
      </w:pPr>
      <w:r>
        <w:t>Notwithstanding the issue identified with Earth Science ANSIs and agriculture, S</w:t>
      </w:r>
      <w:r w:rsidR="008E420B">
        <w:t xml:space="preserve">taff notes that </w:t>
      </w:r>
      <w:r w:rsidR="008E420B" w:rsidRPr="0052491A">
        <w:t>t</w:t>
      </w:r>
      <w:r w:rsidR="007B1A1E" w:rsidRPr="0052491A">
        <w:rPr>
          <w:szCs w:val="24"/>
        </w:rPr>
        <w:t>h</w:t>
      </w:r>
      <w:r w:rsidR="008E420B" w:rsidRPr="0052491A">
        <w:rPr>
          <w:szCs w:val="24"/>
        </w:rPr>
        <w:t xml:space="preserve">e </w:t>
      </w:r>
      <w:r w:rsidR="008540A1" w:rsidRPr="0052491A">
        <w:rPr>
          <w:szCs w:val="24"/>
        </w:rPr>
        <w:t xml:space="preserve">general </w:t>
      </w:r>
      <w:r w:rsidR="00A93770" w:rsidRPr="0052491A">
        <w:rPr>
          <w:szCs w:val="24"/>
        </w:rPr>
        <w:t xml:space="preserve">policy approach </w:t>
      </w:r>
      <w:r w:rsidR="00415DFA">
        <w:rPr>
          <w:szCs w:val="24"/>
        </w:rPr>
        <w:t xml:space="preserve">to </w:t>
      </w:r>
      <w:r w:rsidR="008E420B" w:rsidRPr="0052491A">
        <w:rPr>
          <w:szCs w:val="24"/>
        </w:rPr>
        <w:t xml:space="preserve">prohibiting </w:t>
      </w:r>
      <w:r w:rsidR="005D1A9E" w:rsidRPr="0052491A">
        <w:rPr>
          <w:szCs w:val="24"/>
        </w:rPr>
        <w:t xml:space="preserve">new </w:t>
      </w:r>
      <w:r w:rsidR="008540A1" w:rsidRPr="0052491A">
        <w:rPr>
          <w:szCs w:val="24"/>
        </w:rPr>
        <w:t xml:space="preserve">agricultural development in KNHFs </w:t>
      </w:r>
      <w:r w:rsidR="007B1A1E" w:rsidRPr="0052491A">
        <w:rPr>
          <w:szCs w:val="24"/>
        </w:rPr>
        <w:t xml:space="preserve">is consistent with both the Greenbelt </w:t>
      </w:r>
      <w:r w:rsidR="008540A1" w:rsidRPr="0052491A">
        <w:rPr>
          <w:szCs w:val="24"/>
        </w:rPr>
        <w:t xml:space="preserve">Plan </w:t>
      </w:r>
      <w:r w:rsidR="007B1A1E" w:rsidRPr="0052491A">
        <w:rPr>
          <w:szCs w:val="24"/>
        </w:rPr>
        <w:t>and the PPS</w:t>
      </w:r>
      <w:r w:rsidR="00F16C83" w:rsidRPr="0052491A">
        <w:rPr>
          <w:szCs w:val="24"/>
        </w:rPr>
        <w:t>, and is in keeping with the “envi</w:t>
      </w:r>
      <w:r w:rsidR="00D32DAD" w:rsidRPr="0052491A">
        <w:rPr>
          <w:szCs w:val="24"/>
        </w:rPr>
        <w:t>ronment-first” p</w:t>
      </w:r>
      <w:r w:rsidR="00D56379" w:rsidRPr="0052491A">
        <w:rPr>
          <w:szCs w:val="24"/>
        </w:rPr>
        <w:t>rinciple</w:t>
      </w:r>
      <w:r w:rsidR="00D32DAD" w:rsidRPr="0052491A">
        <w:rPr>
          <w:szCs w:val="24"/>
        </w:rPr>
        <w:t xml:space="preserve"> of the NEP</w:t>
      </w:r>
      <w:r w:rsidR="007B1A1E" w:rsidRPr="0052491A">
        <w:rPr>
          <w:szCs w:val="24"/>
        </w:rPr>
        <w:t>.</w:t>
      </w:r>
      <w:r w:rsidR="007B1A1E" w:rsidRPr="00D56379">
        <w:rPr>
          <w:szCs w:val="24"/>
        </w:rPr>
        <w:t xml:space="preserve"> </w:t>
      </w:r>
      <w:r w:rsidR="00D32DAD" w:rsidRPr="00D56379">
        <w:rPr>
          <w:szCs w:val="24"/>
        </w:rPr>
        <w:t xml:space="preserve"> </w:t>
      </w:r>
      <w:r w:rsidR="004370A8" w:rsidRPr="00D56379">
        <w:rPr>
          <w:szCs w:val="24"/>
        </w:rPr>
        <w:t xml:space="preserve">New agriculture is also not a </w:t>
      </w:r>
      <w:r w:rsidR="004370A8">
        <w:rPr>
          <w:szCs w:val="24"/>
        </w:rPr>
        <w:t>P</w:t>
      </w:r>
      <w:r w:rsidR="004370A8" w:rsidRPr="00D56379">
        <w:rPr>
          <w:szCs w:val="24"/>
        </w:rPr>
        <w:t xml:space="preserve">ermitted </w:t>
      </w:r>
      <w:r w:rsidR="004370A8">
        <w:rPr>
          <w:szCs w:val="24"/>
        </w:rPr>
        <w:t>U</w:t>
      </w:r>
      <w:r w:rsidR="004370A8" w:rsidRPr="00D56379">
        <w:rPr>
          <w:szCs w:val="24"/>
        </w:rPr>
        <w:t>se in the most sensitive Escarpment Natural Area designation.</w:t>
      </w:r>
      <w:r w:rsidR="004370A8">
        <w:t xml:space="preserve"> </w:t>
      </w:r>
      <w:r w:rsidR="00D32DAD" w:rsidRPr="00D56379">
        <w:rPr>
          <w:szCs w:val="24"/>
        </w:rPr>
        <w:t>F</w:t>
      </w:r>
      <w:r w:rsidR="00F16C83" w:rsidRPr="00D56379">
        <w:rPr>
          <w:szCs w:val="24"/>
        </w:rPr>
        <w:t xml:space="preserve">arming and other forms of compatible development </w:t>
      </w:r>
      <w:r w:rsidR="00F16C83" w:rsidRPr="00D56379">
        <w:rPr>
          <w:i/>
          <w:iCs/>
          <w:szCs w:val="24"/>
        </w:rPr>
        <w:t>may</w:t>
      </w:r>
      <w:r w:rsidR="00F16C83" w:rsidRPr="00D56379">
        <w:rPr>
          <w:szCs w:val="24"/>
        </w:rPr>
        <w:t xml:space="preserve"> take place within the NEP </w:t>
      </w:r>
      <w:r w:rsidR="00D32DAD" w:rsidRPr="00D56379">
        <w:rPr>
          <w:szCs w:val="24"/>
        </w:rPr>
        <w:t>A</w:t>
      </w:r>
      <w:r w:rsidR="00F16C83" w:rsidRPr="00D56379">
        <w:rPr>
          <w:szCs w:val="24"/>
        </w:rPr>
        <w:t>rea</w:t>
      </w:r>
      <w:r w:rsidR="00D56379">
        <w:rPr>
          <w:szCs w:val="24"/>
        </w:rPr>
        <w:t xml:space="preserve">, </w:t>
      </w:r>
      <w:r w:rsidR="00D32DAD" w:rsidRPr="00D56379">
        <w:rPr>
          <w:szCs w:val="24"/>
        </w:rPr>
        <w:t xml:space="preserve">only </w:t>
      </w:r>
      <w:r w:rsidR="00F16C83" w:rsidRPr="00D56379">
        <w:rPr>
          <w:szCs w:val="24"/>
        </w:rPr>
        <w:t xml:space="preserve">if </w:t>
      </w:r>
      <w:r w:rsidR="00D56379">
        <w:rPr>
          <w:szCs w:val="24"/>
        </w:rPr>
        <w:t xml:space="preserve">the use has been </w:t>
      </w:r>
      <w:r w:rsidR="00D32DAD" w:rsidRPr="00D56379">
        <w:rPr>
          <w:szCs w:val="24"/>
        </w:rPr>
        <w:t xml:space="preserve">demonstrated </w:t>
      </w:r>
      <w:r w:rsidR="00C67FA7">
        <w:rPr>
          <w:szCs w:val="24"/>
        </w:rPr>
        <w:t xml:space="preserve">to </w:t>
      </w:r>
      <w:r w:rsidR="00F16C83" w:rsidRPr="00D56379">
        <w:rPr>
          <w:szCs w:val="24"/>
        </w:rPr>
        <w:t xml:space="preserve">support the Purpose and Objectives of the </w:t>
      </w:r>
      <w:r w:rsidR="00A93770" w:rsidRPr="00D56379">
        <w:rPr>
          <w:szCs w:val="24"/>
        </w:rPr>
        <w:t>NEP</w:t>
      </w:r>
      <w:r w:rsidR="00C67FA7">
        <w:rPr>
          <w:szCs w:val="24"/>
        </w:rPr>
        <w:t>.</w:t>
      </w:r>
    </w:p>
    <w:p w14:paraId="14BB86F7" w14:textId="77777777" w:rsidR="004B0033" w:rsidRPr="008E420B" w:rsidRDefault="004B0033" w:rsidP="00F16C83">
      <w:pPr>
        <w:spacing w:after="100" w:afterAutospacing="1"/>
        <w:contextualSpacing/>
      </w:pPr>
    </w:p>
    <w:p w14:paraId="28BEBAB4" w14:textId="388E10CD" w:rsidR="006F1891" w:rsidRDefault="006F1891" w:rsidP="006F1891">
      <w:pPr>
        <w:spacing w:after="100" w:afterAutospacing="1"/>
        <w:contextualSpacing/>
      </w:pPr>
      <w:r>
        <w:t>Earth Science ANSIs are generally understood to be less sensitive to general forms of development and site alteration than Life Science ANSIs. Depending upon the values for which the ANSI was designated</w:t>
      </w:r>
      <w:r w:rsidR="00AE5109">
        <w:t xml:space="preserve"> and the sensitivity of the ANSI feature</w:t>
      </w:r>
      <w:r>
        <w:t xml:space="preserve">, </w:t>
      </w:r>
      <w:r w:rsidR="00A97AE4">
        <w:t xml:space="preserve">in principle, </w:t>
      </w:r>
      <w:r>
        <w:t>agriculture</w:t>
      </w:r>
      <w:r w:rsidR="00AE5109">
        <w:t xml:space="preserve"> and accessory uses to agriculture</w:t>
      </w:r>
      <w:r>
        <w:t xml:space="preserve"> </w:t>
      </w:r>
      <w:r w:rsidRPr="005F01C3">
        <w:rPr>
          <w:i/>
          <w:iCs/>
        </w:rPr>
        <w:t>may</w:t>
      </w:r>
      <w:r>
        <w:t xml:space="preserve"> be an acceptable form of developme</w:t>
      </w:r>
      <w:r w:rsidR="00AE5109">
        <w:t>nt</w:t>
      </w:r>
      <w:r w:rsidR="006F20C4">
        <w:t xml:space="preserve"> </w:t>
      </w:r>
      <w:r>
        <w:t xml:space="preserve">not </w:t>
      </w:r>
      <w:r w:rsidR="006F20C4">
        <w:t>to conflict with</w:t>
      </w:r>
      <w:r>
        <w:t xml:space="preserve"> the maintenance of the landform</w:t>
      </w:r>
      <w:r w:rsidR="006F20C4">
        <w:t>,</w:t>
      </w:r>
      <w:r>
        <w:t xml:space="preserve"> provided best management practices are employed. It is recognized that </w:t>
      </w:r>
      <w:r w:rsidR="006D4F87">
        <w:t>not unlike when development is proposed within</w:t>
      </w:r>
      <w:r w:rsidR="00A97AE4">
        <w:t xml:space="preserve"> other natural heritage features (e.g.</w:t>
      </w:r>
      <w:r w:rsidR="004C5DA3">
        <w:t>,</w:t>
      </w:r>
      <w:r w:rsidR="00A97AE4">
        <w:t xml:space="preserve"> significant woodland)</w:t>
      </w:r>
      <w:r w:rsidR="006D4F87">
        <w:t xml:space="preserve">, </w:t>
      </w:r>
      <w:r w:rsidR="003F054B">
        <w:t xml:space="preserve">there may be instances where </w:t>
      </w:r>
      <w:r>
        <w:t xml:space="preserve">technical </w:t>
      </w:r>
      <w:r w:rsidRPr="006D4F87">
        <w:t>studies (e.g.</w:t>
      </w:r>
      <w:r w:rsidR="004C5DA3">
        <w:t>,</w:t>
      </w:r>
      <w:r>
        <w:t xml:space="preserve"> </w:t>
      </w:r>
      <w:r w:rsidR="006D4F87">
        <w:t>hydrology, karst</w:t>
      </w:r>
      <w:r>
        <w:t>)</w:t>
      </w:r>
      <w:r w:rsidR="006D4F87">
        <w:t>,</w:t>
      </w:r>
      <w:r>
        <w:t xml:space="preserve"> </w:t>
      </w:r>
      <w:r w:rsidR="00747898">
        <w:t xml:space="preserve">would </w:t>
      </w:r>
      <w:r>
        <w:t>be required to demonstrate compatibility</w:t>
      </w:r>
      <w:r w:rsidR="00A97AE4">
        <w:t>/no negative impacts to feature and functions</w:t>
      </w:r>
      <w:r>
        <w:t>.</w:t>
      </w:r>
    </w:p>
    <w:p w14:paraId="1CC46015" w14:textId="77777777" w:rsidR="00155B0E" w:rsidRDefault="00155B0E" w:rsidP="00155B0E">
      <w:pPr>
        <w:spacing w:after="100" w:afterAutospacing="1"/>
        <w:contextualSpacing/>
        <w:rPr>
          <w:rFonts w:cstheme="minorHAnsi"/>
          <w:lang w:val="en-US"/>
        </w:rPr>
      </w:pPr>
    </w:p>
    <w:p w14:paraId="47810C28" w14:textId="3A6B1F7F" w:rsidR="00155B0E" w:rsidRDefault="00155B0E" w:rsidP="00155B0E">
      <w:pPr>
        <w:spacing w:after="100" w:afterAutospacing="1"/>
        <w:contextualSpacing/>
      </w:pPr>
      <w:r>
        <w:rPr>
          <w:rFonts w:cstheme="minorHAnsi"/>
          <w:lang w:val="en-US"/>
        </w:rPr>
        <w:t xml:space="preserve">While there are restrictions on the development of agriculture and agricultural related uses </w:t>
      </w:r>
      <w:r w:rsidR="006F20C4">
        <w:rPr>
          <w:rFonts w:cstheme="minorHAnsi"/>
          <w:lang w:val="en-US"/>
        </w:rPr>
        <w:t>with</w:t>
      </w:r>
      <w:r>
        <w:rPr>
          <w:rFonts w:cstheme="minorHAnsi"/>
          <w:lang w:val="en-US"/>
        </w:rPr>
        <w:t>in KNHFs, staff notes that Onta</w:t>
      </w:r>
      <w:r w:rsidRPr="00905022">
        <w:rPr>
          <w:rFonts w:cstheme="minorHAnsi"/>
          <w:szCs w:val="24"/>
          <w:lang w:val="en-US"/>
        </w:rPr>
        <w:t xml:space="preserve">rio Regulation 828/90 </w:t>
      </w:r>
      <w:r>
        <w:rPr>
          <w:rFonts w:cstheme="minorHAnsi"/>
          <w:szCs w:val="24"/>
          <w:lang w:val="en-US"/>
        </w:rPr>
        <w:t>provides that g</w:t>
      </w:r>
      <w:r w:rsidRPr="00905022">
        <w:rPr>
          <w:rFonts w:cstheme="minorHAnsi"/>
          <w:szCs w:val="24"/>
          <w:lang w:val="en-US"/>
        </w:rPr>
        <w:t>eneral agricultural development may be exempt from requiring a Development Permit</w:t>
      </w:r>
      <w:r>
        <w:rPr>
          <w:rFonts w:cstheme="minorHAnsi"/>
          <w:szCs w:val="24"/>
          <w:lang w:val="en-US"/>
        </w:rPr>
        <w:t xml:space="preserve"> </w:t>
      </w:r>
      <w:r w:rsidR="00CC17B3">
        <w:rPr>
          <w:rFonts w:cstheme="minorHAnsi"/>
          <w:szCs w:val="24"/>
          <w:lang w:val="en-US"/>
        </w:rPr>
        <w:t>(if identified as a Permitted Use in Part 1 of the NEP), provided</w:t>
      </w:r>
      <w:r w:rsidRPr="00905022">
        <w:rPr>
          <w:rFonts w:cstheme="minorHAnsi"/>
          <w:szCs w:val="24"/>
          <w:lang w:val="en-US"/>
        </w:rPr>
        <w:t xml:space="preserve"> certain criteria are met.</w:t>
      </w:r>
      <w:r>
        <w:rPr>
          <w:rFonts w:cstheme="minorHAnsi"/>
          <w:szCs w:val="24"/>
          <w:lang w:val="en-US"/>
        </w:rPr>
        <w:t xml:space="preserve"> </w:t>
      </w:r>
      <w:r>
        <w:rPr>
          <w:rFonts w:cstheme="minorHAnsi"/>
          <w:szCs w:val="24"/>
          <w:lang w:val="en-US"/>
        </w:rPr>
        <w:lastRenderedPageBreak/>
        <w:t xml:space="preserve">Additionally, agriculture and </w:t>
      </w:r>
      <w:r w:rsidR="004257AB">
        <w:rPr>
          <w:rFonts w:cstheme="minorHAnsi"/>
          <w:szCs w:val="24"/>
          <w:lang w:val="en-US"/>
        </w:rPr>
        <w:t xml:space="preserve">development accessory to </w:t>
      </w:r>
      <w:r>
        <w:rPr>
          <w:rFonts w:cstheme="minorHAnsi"/>
          <w:szCs w:val="24"/>
          <w:lang w:val="en-US"/>
        </w:rPr>
        <w:t>agriculture is permitted on lands adjacent to KNHFs</w:t>
      </w:r>
      <w:r w:rsidR="004257AB">
        <w:rPr>
          <w:rFonts w:cstheme="minorHAnsi"/>
          <w:szCs w:val="24"/>
          <w:lang w:val="en-US"/>
        </w:rPr>
        <w:t xml:space="preserve"> (subject to demonstrating no negative impacts to the feature and its functions)</w:t>
      </w:r>
      <w:r>
        <w:rPr>
          <w:rFonts w:cstheme="minorHAnsi"/>
          <w:szCs w:val="24"/>
          <w:lang w:val="en-US"/>
        </w:rPr>
        <w:t>, and exemptions are provided from the standard requirement for vegetation protection zones to be maintained in a condition of self-sustaining vegetation</w:t>
      </w:r>
      <w:r w:rsidR="00250657">
        <w:rPr>
          <w:rFonts w:cstheme="minorHAnsi"/>
          <w:szCs w:val="24"/>
          <w:lang w:val="en-US"/>
        </w:rPr>
        <w:t>.</w:t>
      </w:r>
    </w:p>
    <w:p w14:paraId="750A5729" w14:textId="77777777" w:rsidR="006F1891" w:rsidRDefault="006F1891" w:rsidP="00F16C83">
      <w:pPr>
        <w:spacing w:after="100" w:afterAutospacing="1"/>
        <w:contextualSpacing/>
      </w:pPr>
    </w:p>
    <w:p w14:paraId="375D7CA8" w14:textId="3DBEE9AC" w:rsidR="00B1481F" w:rsidRDefault="00991536" w:rsidP="00F16C83">
      <w:pPr>
        <w:spacing w:after="100" w:afterAutospacing="1"/>
        <w:contextualSpacing/>
      </w:pPr>
      <w:r>
        <w:t xml:space="preserve">The Commission was </w:t>
      </w:r>
      <w:r w:rsidR="009B70C1">
        <w:t xml:space="preserve">recently </w:t>
      </w:r>
      <w:r>
        <w:t xml:space="preserve">presented with a </w:t>
      </w:r>
      <w:r w:rsidR="00FB3FAB">
        <w:t>DPA</w:t>
      </w:r>
      <w:r w:rsidR="00ED50BF">
        <w:t xml:space="preserve"> </w:t>
      </w:r>
      <w:r w:rsidR="00447621" w:rsidRPr="00FB7809">
        <w:t>that</w:t>
      </w:r>
      <w:r w:rsidR="00447621">
        <w:t xml:space="preserve"> </w:t>
      </w:r>
      <w:r w:rsidR="004B0033">
        <w:t>s</w:t>
      </w:r>
      <w:r w:rsidR="00447621">
        <w:t>taff</w:t>
      </w:r>
      <w:r w:rsidR="009B70C1">
        <w:t xml:space="preserve"> </w:t>
      </w:r>
      <w:r w:rsidR="004604F7">
        <w:t>recommended refusal</w:t>
      </w:r>
      <w:r w:rsidR="00FB3FAB">
        <w:t xml:space="preserve">, on </w:t>
      </w:r>
      <w:r w:rsidR="00FA4F22">
        <w:t xml:space="preserve">the basis that the agricultural development </w:t>
      </w:r>
      <w:r w:rsidR="00ED50BF">
        <w:t xml:space="preserve">(a barn) </w:t>
      </w:r>
      <w:r w:rsidR="00FA4F22">
        <w:t xml:space="preserve">was </w:t>
      </w:r>
      <w:r w:rsidR="00FA4F22" w:rsidRPr="00DF756F">
        <w:t>proposed within</w:t>
      </w:r>
      <w:r w:rsidR="00FA4F22">
        <w:t xml:space="preserve"> an identified </w:t>
      </w:r>
      <w:r w:rsidR="00A66118">
        <w:t xml:space="preserve">Provincially Significant </w:t>
      </w:r>
      <w:r w:rsidR="000F5B1F">
        <w:t>Earth Science</w:t>
      </w:r>
      <w:r w:rsidR="00FA4F22">
        <w:t xml:space="preserve"> ANSI</w:t>
      </w:r>
      <w:r w:rsidR="00FB3FAB">
        <w:t xml:space="preserve"> (</w:t>
      </w:r>
      <w:proofErr w:type="spellStart"/>
      <w:r w:rsidR="00FB3FAB">
        <w:t>Fonthill</w:t>
      </w:r>
      <w:proofErr w:type="spellEnd"/>
      <w:r w:rsidR="00FB3FAB">
        <w:t xml:space="preserve"> Kame</w:t>
      </w:r>
      <w:r w:rsidR="001A15C8">
        <w:t>-</w:t>
      </w:r>
      <w:r w:rsidR="00FB3FAB">
        <w:t>Delta ANSI)</w:t>
      </w:r>
      <w:r w:rsidR="00FA4F22">
        <w:t>.</w:t>
      </w:r>
      <w:r w:rsidR="00447621">
        <w:t xml:space="preserve"> </w:t>
      </w:r>
      <w:r w:rsidR="00FA4F22">
        <w:t xml:space="preserve"> </w:t>
      </w:r>
      <w:r w:rsidR="004E4920">
        <w:t xml:space="preserve">Designated </w:t>
      </w:r>
      <w:r w:rsidR="00885975">
        <w:t xml:space="preserve">Provincial </w:t>
      </w:r>
      <w:r w:rsidR="004E4920">
        <w:t>ANSIs</w:t>
      </w:r>
      <w:r w:rsidR="003F03F8">
        <w:t xml:space="preserve"> have a “checklist” which documents the values for which the ANSI was identified, as well as information on activities that could impact the feature.</w:t>
      </w:r>
      <w:r w:rsidR="00EF2279">
        <w:t xml:space="preserve"> In this specific example, th</w:t>
      </w:r>
      <w:r w:rsidR="004035DF">
        <w:t>e check</w:t>
      </w:r>
      <w:r w:rsidR="00447621">
        <w:t>list</w:t>
      </w:r>
      <w:r w:rsidR="004035DF">
        <w:t xml:space="preserve"> identified that much of the ANSI feature</w:t>
      </w:r>
      <w:r w:rsidR="00FA1875">
        <w:t xml:space="preserve"> </w:t>
      </w:r>
      <w:r w:rsidR="004035DF">
        <w:t>was in agricultural production</w:t>
      </w:r>
      <w:r w:rsidR="00FA1875">
        <w:t>,</w:t>
      </w:r>
      <w:r w:rsidR="004035DF">
        <w:t xml:space="preserve"> and </w:t>
      </w:r>
      <w:r w:rsidR="00C229CC">
        <w:t>that provided certain mitigation measures are taken (e.g.</w:t>
      </w:r>
      <w:r w:rsidR="001A15C8">
        <w:t>,</w:t>
      </w:r>
      <w:r w:rsidR="00C229CC">
        <w:t xml:space="preserve"> avoid </w:t>
      </w:r>
      <w:r w:rsidR="00B866BC">
        <w:t xml:space="preserve">altering contours), agriculture was </w:t>
      </w:r>
      <w:r w:rsidR="001021C4">
        <w:t>identified as</w:t>
      </w:r>
      <w:r w:rsidR="00B866BC">
        <w:t xml:space="preserve"> an activity that was unlikely to cause negative impact. </w:t>
      </w:r>
    </w:p>
    <w:p w14:paraId="1A654543" w14:textId="77777777" w:rsidR="00B1481F" w:rsidRDefault="00B1481F" w:rsidP="00F16C83">
      <w:pPr>
        <w:spacing w:after="100" w:afterAutospacing="1"/>
        <w:contextualSpacing/>
      </w:pPr>
    </w:p>
    <w:p w14:paraId="5778ABD7" w14:textId="0686EEBD" w:rsidR="00160C6F" w:rsidRPr="00AE5172" w:rsidRDefault="001021C4" w:rsidP="00F16C83">
      <w:pPr>
        <w:spacing w:after="100" w:afterAutospacing="1"/>
        <w:contextualSpacing/>
        <w:rPr>
          <w:color w:val="FF0000"/>
        </w:rPr>
      </w:pPr>
      <w:r>
        <w:t xml:space="preserve">Regardless of this </w:t>
      </w:r>
      <w:r w:rsidR="00B1481F">
        <w:t>understanding</w:t>
      </w:r>
      <w:r w:rsidR="00A87396">
        <w:t xml:space="preserve">, </w:t>
      </w:r>
      <w:r w:rsidR="00610B33">
        <w:t>or that the MNDMNRF</w:t>
      </w:r>
      <w:r w:rsidR="00B11BD5">
        <w:t xml:space="preserve"> did not appear to have any concerns</w:t>
      </w:r>
      <w:r w:rsidR="00BE407C">
        <w:t>,</w:t>
      </w:r>
      <w:r w:rsidR="00B11BD5">
        <w:t xml:space="preserve"> provided</w:t>
      </w:r>
      <w:r w:rsidR="00B11BD5" w:rsidRPr="00B11BD5">
        <w:rPr>
          <w:rFonts w:cstheme="minorHAnsi"/>
          <w:lang w:val="en-US"/>
        </w:rPr>
        <w:t xml:space="preserve"> </w:t>
      </w:r>
      <w:r w:rsidR="00B11BD5">
        <w:rPr>
          <w:rFonts w:cstheme="minorHAnsi"/>
          <w:lang w:val="en-US"/>
        </w:rPr>
        <w:t xml:space="preserve">that care was taken to ensure that these features </w:t>
      </w:r>
      <w:r w:rsidR="00BE407C">
        <w:rPr>
          <w:rFonts w:cstheme="minorHAnsi"/>
          <w:lang w:val="en-US"/>
        </w:rPr>
        <w:t>were</w:t>
      </w:r>
      <w:r w:rsidR="00B11BD5">
        <w:rPr>
          <w:rFonts w:cstheme="minorHAnsi"/>
          <w:lang w:val="en-US"/>
        </w:rPr>
        <w:t xml:space="preserve"> not impacted by the proposed works</w:t>
      </w:r>
      <w:r w:rsidR="00B1481F">
        <w:t>,</w:t>
      </w:r>
      <w:r>
        <w:t xml:space="preserve"> the NEP policy prohibiting the development </w:t>
      </w:r>
      <w:r w:rsidR="00D87B6C">
        <w:t xml:space="preserve">resulted in a </w:t>
      </w:r>
      <w:r w:rsidR="00B1481F">
        <w:t xml:space="preserve">staff </w:t>
      </w:r>
      <w:r w:rsidR="00D87B6C">
        <w:t xml:space="preserve">recommendation </w:t>
      </w:r>
      <w:r w:rsidR="00FC231D">
        <w:t xml:space="preserve">of </w:t>
      </w:r>
      <w:r w:rsidR="00D87B6C">
        <w:t>refusal.</w:t>
      </w:r>
      <w:r w:rsidR="005826BB">
        <w:t xml:space="preserve"> </w:t>
      </w:r>
      <w:r w:rsidR="005826BB" w:rsidRPr="00FB7809">
        <w:t xml:space="preserve">The Commission did not support the staff </w:t>
      </w:r>
      <w:r w:rsidR="005E291D" w:rsidRPr="00FB7809">
        <w:t>recommendation and</w:t>
      </w:r>
      <w:r w:rsidR="005826BB" w:rsidRPr="00FB7809">
        <w:t xml:space="preserve"> approved the application on the basis that</w:t>
      </w:r>
      <w:r w:rsidR="00290BD6" w:rsidRPr="00FB7809">
        <w:t xml:space="preserve"> the agriculture was an existing use and barn had previously been approved on the subject property (prior to the 2017 NEP policies).</w:t>
      </w:r>
      <w:r w:rsidR="00290BD6">
        <w:t xml:space="preserve"> </w:t>
      </w:r>
      <w:r w:rsidR="00B1481F" w:rsidRPr="00875530">
        <w:rPr>
          <w:color w:val="000000" w:themeColor="text1"/>
        </w:rPr>
        <w:t>Staff is aware of one</w:t>
      </w:r>
      <w:r w:rsidR="00E9082C" w:rsidRPr="00875530">
        <w:rPr>
          <w:color w:val="000000" w:themeColor="text1"/>
        </w:rPr>
        <w:t xml:space="preserve"> other DPA</w:t>
      </w:r>
      <w:r w:rsidR="002E0302" w:rsidRPr="00875530">
        <w:rPr>
          <w:color w:val="000000" w:themeColor="text1"/>
        </w:rPr>
        <w:t xml:space="preserve"> that proposed</w:t>
      </w:r>
      <w:r w:rsidR="00F6746B" w:rsidRPr="00875530">
        <w:rPr>
          <w:color w:val="000000" w:themeColor="text1"/>
        </w:rPr>
        <w:t xml:space="preserve"> </w:t>
      </w:r>
      <w:r w:rsidR="00B22500" w:rsidRPr="00875530">
        <w:rPr>
          <w:color w:val="000000" w:themeColor="text1"/>
        </w:rPr>
        <w:t xml:space="preserve">to </w:t>
      </w:r>
      <w:r w:rsidR="00B22500" w:rsidRPr="00875530">
        <w:rPr>
          <w:rFonts w:ascii="Arial" w:hAnsi="Arial" w:cs="Arial"/>
          <w:color w:val="000000" w:themeColor="text1"/>
          <w:szCs w:val="24"/>
        </w:rPr>
        <w:t>establish a building for agricultural / on-farm diversified uses</w:t>
      </w:r>
      <w:r w:rsidR="00F6746B" w:rsidRPr="00875530">
        <w:rPr>
          <w:rFonts w:ascii="Arial" w:hAnsi="Arial" w:cs="Arial"/>
          <w:color w:val="000000" w:themeColor="text1"/>
          <w:szCs w:val="24"/>
        </w:rPr>
        <w:t xml:space="preserve"> on a property with an E</w:t>
      </w:r>
      <w:r w:rsidR="002E0302" w:rsidRPr="00875530">
        <w:rPr>
          <w:rFonts w:ascii="Arial" w:hAnsi="Arial" w:cs="Arial"/>
          <w:color w:val="000000" w:themeColor="text1"/>
          <w:szCs w:val="24"/>
        </w:rPr>
        <w:t xml:space="preserve">arth </w:t>
      </w:r>
      <w:r w:rsidR="00F6746B" w:rsidRPr="00875530">
        <w:rPr>
          <w:rFonts w:ascii="Arial" w:hAnsi="Arial" w:cs="Arial"/>
          <w:color w:val="000000" w:themeColor="text1"/>
          <w:szCs w:val="24"/>
        </w:rPr>
        <w:t>S</w:t>
      </w:r>
      <w:r w:rsidR="002E0302" w:rsidRPr="00875530">
        <w:rPr>
          <w:rFonts w:ascii="Arial" w:hAnsi="Arial" w:cs="Arial"/>
          <w:color w:val="000000" w:themeColor="text1"/>
          <w:szCs w:val="24"/>
        </w:rPr>
        <w:t>cience</w:t>
      </w:r>
      <w:r w:rsidR="00F6746B" w:rsidRPr="00875530">
        <w:rPr>
          <w:rFonts w:ascii="Arial" w:hAnsi="Arial" w:cs="Arial"/>
          <w:color w:val="000000" w:themeColor="text1"/>
          <w:szCs w:val="24"/>
        </w:rPr>
        <w:t xml:space="preserve"> ANSI designation. </w:t>
      </w:r>
      <w:r w:rsidR="00334ADD" w:rsidRPr="00875530">
        <w:rPr>
          <w:rFonts w:ascii="Arial" w:hAnsi="Arial" w:cs="Arial"/>
          <w:color w:val="000000" w:themeColor="text1"/>
          <w:szCs w:val="24"/>
        </w:rPr>
        <w:t xml:space="preserve">In that instance, the MNRF </w:t>
      </w:r>
      <w:r w:rsidR="00975799" w:rsidRPr="00875530">
        <w:rPr>
          <w:rFonts w:ascii="Arial" w:hAnsi="Arial" w:cs="Arial"/>
          <w:color w:val="000000" w:themeColor="text1"/>
          <w:szCs w:val="24"/>
        </w:rPr>
        <w:t>reviewed and made a minor modification to the b</w:t>
      </w:r>
      <w:r w:rsidR="0005764B" w:rsidRPr="00875530">
        <w:rPr>
          <w:rFonts w:ascii="Arial" w:hAnsi="Arial" w:cs="Arial"/>
          <w:color w:val="000000" w:themeColor="text1"/>
          <w:szCs w:val="24"/>
        </w:rPr>
        <w:t>oundary of the ANSI</w:t>
      </w:r>
      <w:r w:rsidR="00975799" w:rsidRPr="00875530">
        <w:rPr>
          <w:rFonts w:ascii="Arial" w:hAnsi="Arial" w:cs="Arial"/>
          <w:color w:val="000000" w:themeColor="text1"/>
          <w:szCs w:val="24"/>
        </w:rPr>
        <w:t xml:space="preserve">, </w:t>
      </w:r>
      <w:r w:rsidR="00975799" w:rsidRPr="00875530">
        <w:rPr>
          <w:color w:val="000000" w:themeColor="text1"/>
        </w:rPr>
        <w:t xml:space="preserve">based upon new information that was provided respecting a former barn on </w:t>
      </w:r>
      <w:r w:rsidR="00135A0A" w:rsidRPr="00875530">
        <w:rPr>
          <w:color w:val="000000" w:themeColor="text1"/>
        </w:rPr>
        <w:t xml:space="preserve">the </w:t>
      </w:r>
      <w:r w:rsidR="00975799" w:rsidRPr="00875530">
        <w:rPr>
          <w:color w:val="000000" w:themeColor="text1"/>
        </w:rPr>
        <w:t xml:space="preserve">site. </w:t>
      </w:r>
      <w:r w:rsidR="00135A0A" w:rsidRPr="00875530">
        <w:rPr>
          <w:color w:val="000000" w:themeColor="text1"/>
        </w:rPr>
        <w:t>ANSI</w:t>
      </w:r>
      <w:r w:rsidR="000B69E8" w:rsidRPr="00875530">
        <w:rPr>
          <w:color w:val="000000" w:themeColor="text1"/>
        </w:rPr>
        <w:t>s are considered “open files” and there is a process of considering boundary changes</w:t>
      </w:r>
      <w:r w:rsidR="00875530">
        <w:rPr>
          <w:color w:val="000000" w:themeColor="text1"/>
        </w:rPr>
        <w:t xml:space="preserve"> (</w:t>
      </w:r>
      <w:r w:rsidR="000B69E8" w:rsidRPr="00875530">
        <w:rPr>
          <w:color w:val="000000" w:themeColor="text1"/>
        </w:rPr>
        <w:t>typically based on science</w:t>
      </w:r>
      <w:r w:rsidR="00875530">
        <w:rPr>
          <w:color w:val="000000" w:themeColor="text1"/>
        </w:rPr>
        <w:t>)</w:t>
      </w:r>
      <w:r w:rsidR="000B69E8" w:rsidRPr="00875530">
        <w:rPr>
          <w:color w:val="000000" w:themeColor="text1"/>
        </w:rPr>
        <w:t xml:space="preserve">. </w:t>
      </w:r>
      <w:r w:rsidR="00726B14" w:rsidRPr="00875530">
        <w:rPr>
          <w:color w:val="000000" w:themeColor="text1"/>
        </w:rPr>
        <w:t xml:space="preserve">Notwithstanding this boundary modification, the </w:t>
      </w:r>
      <w:r w:rsidR="00875530">
        <w:rPr>
          <w:color w:val="000000" w:themeColor="text1"/>
        </w:rPr>
        <w:t xml:space="preserve">DPA described </w:t>
      </w:r>
      <w:r w:rsidR="00726B14" w:rsidRPr="00875530">
        <w:rPr>
          <w:color w:val="000000" w:themeColor="text1"/>
        </w:rPr>
        <w:t xml:space="preserve">did not proceed </w:t>
      </w:r>
      <w:r w:rsidR="00045097" w:rsidRPr="00875530">
        <w:rPr>
          <w:color w:val="000000" w:themeColor="text1"/>
        </w:rPr>
        <w:t>based on</w:t>
      </w:r>
      <w:r w:rsidR="00726B14" w:rsidRPr="00875530">
        <w:rPr>
          <w:color w:val="000000" w:themeColor="text1"/>
        </w:rPr>
        <w:t xml:space="preserve"> other </w:t>
      </w:r>
      <w:r w:rsidR="00875530">
        <w:rPr>
          <w:color w:val="000000" w:themeColor="text1"/>
        </w:rPr>
        <w:t xml:space="preserve">NEP </w:t>
      </w:r>
      <w:r w:rsidR="00726B14" w:rsidRPr="00875530">
        <w:rPr>
          <w:color w:val="000000" w:themeColor="text1"/>
        </w:rPr>
        <w:t xml:space="preserve">policy conflicts. </w:t>
      </w:r>
      <w:r w:rsidR="000B69E8" w:rsidRPr="00875530">
        <w:rPr>
          <w:color w:val="000000" w:themeColor="text1"/>
        </w:rPr>
        <w:t xml:space="preserve">Staff would not advise that </w:t>
      </w:r>
      <w:r w:rsidR="00BA0DFA" w:rsidRPr="00875530">
        <w:rPr>
          <w:color w:val="000000" w:themeColor="text1"/>
        </w:rPr>
        <w:t xml:space="preserve">it would be appropriate, in </w:t>
      </w:r>
      <w:proofErr w:type="gramStart"/>
      <w:r w:rsidR="00BD592D" w:rsidRPr="00875530">
        <w:rPr>
          <w:color w:val="000000" w:themeColor="text1"/>
        </w:rPr>
        <w:t>the majority of</w:t>
      </w:r>
      <w:proofErr w:type="gramEnd"/>
      <w:r w:rsidR="00BA0DFA" w:rsidRPr="00875530">
        <w:rPr>
          <w:color w:val="000000" w:themeColor="text1"/>
        </w:rPr>
        <w:t xml:space="preserve"> cases,</w:t>
      </w:r>
      <w:r w:rsidR="000B69E8" w:rsidRPr="00875530">
        <w:rPr>
          <w:color w:val="000000" w:themeColor="text1"/>
        </w:rPr>
        <w:t xml:space="preserve"> to seek a</w:t>
      </w:r>
      <w:r w:rsidR="00687A6D">
        <w:rPr>
          <w:color w:val="000000" w:themeColor="text1"/>
        </w:rPr>
        <w:t xml:space="preserve"> </w:t>
      </w:r>
      <w:r w:rsidR="000B69E8" w:rsidRPr="00875530">
        <w:rPr>
          <w:color w:val="000000" w:themeColor="text1"/>
        </w:rPr>
        <w:t xml:space="preserve">boundary change </w:t>
      </w:r>
      <w:r w:rsidR="00BA0DFA" w:rsidRPr="00875530">
        <w:rPr>
          <w:color w:val="000000" w:themeColor="text1"/>
        </w:rPr>
        <w:t xml:space="preserve">in order </w:t>
      </w:r>
      <w:r w:rsidR="000B69E8" w:rsidRPr="00875530">
        <w:rPr>
          <w:color w:val="000000" w:themeColor="text1"/>
        </w:rPr>
        <w:t>to accommodate</w:t>
      </w:r>
      <w:r w:rsidR="00BA0DFA" w:rsidRPr="00875530">
        <w:rPr>
          <w:color w:val="000000" w:themeColor="text1"/>
        </w:rPr>
        <w:t xml:space="preserve"> proposed</w:t>
      </w:r>
      <w:r w:rsidR="000B69E8" w:rsidRPr="00875530">
        <w:rPr>
          <w:color w:val="000000" w:themeColor="text1"/>
        </w:rPr>
        <w:t xml:space="preserve"> development</w:t>
      </w:r>
      <w:r w:rsidR="00687A6D">
        <w:rPr>
          <w:color w:val="000000" w:themeColor="text1"/>
        </w:rPr>
        <w:t xml:space="preserve"> within an ANSI</w:t>
      </w:r>
      <w:r w:rsidR="000B69E8" w:rsidRPr="00875530">
        <w:rPr>
          <w:color w:val="000000" w:themeColor="text1"/>
        </w:rPr>
        <w:t>.</w:t>
      </w:r>
    </w:p>
    <w:p w14:paraId="7CF37835" w14:textId="2C2670F2" w:rsidR="00921D86" w:rsidRDefault="00921D86" w:rsidP="00D950CD">
      <w:pPr>
        <w:spacing w:after="100" w:afterAutospacing="1" w:line="240" w:lineRule="auto"/>
        <w:contextualSpacing/>
      </w:pPr>
    </w:p>
    <w:p w14:paraId="52DC3746" w14:textId="56704D0F" w:rsidR="00A6093B" w:rsidRDefault="00A6093B" w:rsidP="00A6093B">
      <w:pPr>
        <w:spacing w:after="100" w:afterAutospacing="1"/>
        <w:contextualSpacing/>
      </w:pPr>
      <w:r>
        <w:t xml:space="preserve">NEC staff is aware of some of the challenges faced </w:t>
      </w:r>
      <w:r w:rsidRPr="007C191B">
        <w:t xml:space="preserve">by farmers in reconciling natural heritage protection with </w:t>
      </w:r>
      <w:r>
        <w:t xml:space="preserve">the </w:t>
      </w:r>
      <w:r w:rsidRPr="007C191B">
        <w:t>long-term viability of agricultural operations</w:t>
      </w:r>
      <w:r>
        <w:t>.  For example, woodlots or hedgerows which are functioning components of farms may be classified and mapped as a KNHF (Significant Woodland), because it may be contiguous with a larger woodland and meet size and/or connectivity criteria. Similarly, drainage ditches may from time to time, be classified as wetlands. This in turn may prohibit a farmer’s ability to manage their land and expand their operations due to policies respecting the need for buffers/setbacks and/or the requirement for natural heritage evaluations.</w:t>
      </w:r>
    </w:p>
    <w:p w14:paraId="356F6404" w14:textId="6541489A" w:rsidR="00A6093B" w:rsidRDefault="00A6093B" w:rsidP="00A6093B">
      <w:pPr>
        <w:tabs>
          <w:tab w:val="left" w:pos="950"/>
        </w:tabs>
        <w:spacing w:after="100" w:afterAutospacing="1"/>
        <w:contextualSpacing/>
      </w:pPr>
    </w:p>
    <w:p w14:paraId="14D04C41" w14:textId="79070385" w:rsidR="00084DE1" w:rsidRDefault="00726B14" w:rsidP="00503E01">
      <w:pPr>
        <w:spacing w:after="100" w:afterAutospacing="1"/>
        <w:contextualSpacing/>
      </w:pPr>
      <w:r>
        <w:lastRenderedPageBreak/>
        <w:t xml:space="preserve">At the same meeting at which the Commission was presented the DPA </w:t>
      </w:r>
      <w:r w:rsidR="001365B0">
        <w:t>involving the E</w:t>
      </w:r>
      <w:r w:rsidR="000B69E8">
        <w:t xml:space="preserve">arth </w:t>
      </w:r>
      <w:r w:rsidR="001365B0">
        <w:t>S</w:t>
      </w:r>
      <w:r w:rsidR="000B69E8">
        <w:t>cience</w:t>
      </w:r>
      <w:r w:rsidR="001365B0">
        <w:t xml:space="preserve"> ANSI conflict</w:t>
      </w:r>
      <w:r w:rsidR="00084DE1" w:rsidRPr="00A976B8">
        <w:t xml:space="preserve">, </w:t>
      </w:r>
      <w:r w:rsidR="001365B0">
        <w:t xml:space="preserve">NEC </w:t>
      </w:r>
      <w:r w:rsidR="00084DE1" w:rsidRPr="00A976B8">
        <w:t xml:space="preserve">staff presented </w:t>
      </w:r>
      <w:r w:rsidR="000B41B2" w:rsidRPr="00A976B8">
        <w:t>a separate</w:t>
      </w:r>
      <w:r w:rsidR="00084DE1" w:rsidRPr="00A976B8">
        <w:t xml:space="preserve"> application </w:t>
      </w:r>
      <w:r w:rsidR="00A26DFE">
        <w:t xml:space="preserve">recommending refusal of an </w:t>
      </w:r>
      <w:r w:rsidR="001365B0">
        <w:t>agricultural</w:t>
      </w:r>
      <w:r w:rsidR="00084DE1" w:rsidRPr="00A976B8">
        <w:t xml:space="preserve"> development</w:t>
      </w:r>
      <w:r w:rsidR="00A26DFE">
        <w:t xml:space="preserve"> proposal</w:t>
      </w:r>
      <w:r w:rsidR="001365B0">
        <w:t>,</w:t>
      </w:r>
      <w:r w:rsidR="000B41B2" w:rsidRPr="00A976B8">
        <w:t xml:space="preserve"> on the basis that the development was proposed within a Significant Woodland</w:t>
      </w:r>
      <w:r w:rsidR="00A519BA">
        <w:t>, a portion of which</w:t>
      </w:r>
      <w:r w:rsidR="00B040CD">
        <w:t xml:space="preserve"> was characterized as plantation</w:t>
      </w:r>
      <w:r w:rsidR="00011779">
        <w:t xml:space="preserve"> (the Commission deferred the application to a subsequent meeting in this case, requesting additional information).  </w:t>
      </w:r>
      <w:r w:rsidR="00A976B8">
        <w:t>Again, agricultur</w:t>
      </w:r>
      <w:r w:rsidR="00011779">
        <w:t>al uses</w:t>
      </w:r>
      <w:r w:rsidR="00A976B8">
        <w:t xml:space="preserve"> and accessory uses to agriculture are not identified as exceptions to the prohibition</w:t>
      </w:r>
      <w:r w:rsidR="00F43D1A">
        <w:t xml:space="preserve"> of development in KNHFs, </w:t>
      </w:r>
      <w:r w:rsidR="00FA0A40">
        <w:t>(</w:t>
      </w:r>
      <w:r w:rsidR="00F43D1A">
        <w:t>which include Significant Woodlands</w:t>
      </w:r>
      <w:r w:rsidR="00FA0A40">
        <w:t>)</w:t>
      </w:r>
      <w:r w:rsidR="00A976B8">
        <w:t>.</w:t>
      </w:r>
      <w:r w:rsidR="00F76390">
        <w:t xml:space="preserve"> E</w:t>
      </w:r>
      <w:r w:rsidR="00A976B8">
        <w:t>ven if it could be demonstrated that the</w:t>
      </w:r>
      <w:r w:rsidR="00B040CD">
        <w:t xml:space="preserve"> development would not result in negative impacts to the </w:t>
      </w:r>
      <w:r w:rsidR="00DB474B">
        <w:t xml:space="preserve">woodland </w:t>
      </w:r>
      <w:r w:rsidR="00B040CD">
        <w:t xml:space="preserve">feature or its functions, </w:t>
      </w:r>
      <w:r w:rsidR="00F76390">
        <w:t xml:space="preserve">the Plan identifies it should </w:t>
      </w:r>
      <w:r w:rsidR="00B040CD">
        <w:t>not be permitted.</w:t>
      </w:r>
      <w:r w:rsidR="00F97D3D">
        <w:t xml:space="preserve"> </w:t>
      </w:r>
      <w:r w:rsidR="00445F6D">
        <w:t>The identification of Significant Woodlands is typically undertaken by the municipality, using criteria developed by the Province</w:t>
      </w:r>
      <w:r w:rsidR="00DE0C53">
        <w:t xml:space="preserve">, </w:t>
      </w:r>
      <w:r w:rsidR="00011779">
        <w:t>and reflected in OP policy.</w:t>
      </w:r>
      <w:r w:rsidR="00445F6D">
        <w:t xml:space="preserve"> The NEC, as the planning authority, in certain situations, does have the ability to apply the provincial criteria in coming to a determination of a woodland’s status.  </w:t>
      </w:r>
    </w:p>
    <w:p w14:paraId="2C7F22BE" w14:textId="24648E85" w:rsidR="00445F6D" w:rsidRDefault="00445F6D" w:rsidP="00503E01">
      <w:pPr>
        <w:spacing w:after="100" w:afterAutospacing="1"/>
        <w:contextualSpacing/>
      </w:pPr>
    </w:p>
    <w:p w14:paraId="40BC4056" w14:textId="5B37BE0B" w:rsidR="00445F6D" w:rsidRDefault="00687A6D" w:rsidP="00F039F9">
      <w:pPr>
        <w:spacing w:after="100" w:afterAutospacing="1"/>
        <w:contextualSpacing/>
      </w:pPr>
      <w:r>
        <w:rPr>
          <w:rFonts w:cs="Arial"/>
        </w:rPr>
        <w:t>Typically,</w:t>
      </w:r>
      <w:r w:rsidR="00F12A89">
        <w:rPr>
          <w:rFonts w:cs="Arial"/>
        </w:rPr>
        <w:t xml:space="preserve"> </w:t>
      </w:r>
      <w:r w:rsidR="00A80991">
        <w:rPr>
          <w:rFonts w:cs="Arial"/>
        </w:rPr>
        <w:t>municipal Official Plans</w:t>
      </w:r>
      <w:r w:rsidR="00F12A89" w:rsidRPr="00874252">
        <w:rPr>
          <w:rFonts w:cs="Arial"/>
        </w:rPr>
        <w:t xml:space="preserve"> </w:t>
      </w:r>
      <w:r w:rsidR="00A80991">
        <w:rPr>
          <w:rFonts w:cs="Arial"/>
        </w:rPr>
        <w:t>adopt the</w:t>
      </w:r>
      <w:r w:rsidR="00F12A89">
        <w:rPr>
          <w:rFonts w:cs="Arial"/>
        </w:rPr>
        <w:t xml:space="preserve"> policies</w:t>
      </w:r>
      <w:r w:rsidR="00A80991">
        <w:rPr>
          <w:rFonts w:cs="Arial"/>
        </w:rPr>
        <w:t xml:space="preserve"> (using the </w:t>
      </w:r>
      <w:r w:rsidR="001422E0">
        <w:rPr>
          <w:rFonts w:cs="Arial"/>
        </w:rPr>
        <w:t xml:space="preserve">identified </w:t>
      </w:r>
      <w:r w:rsidR="00A80991">
        <w:rPr>
          <w:rFonts w:cs="Arial"/>
        </w:rPr>
        <w:t>provincial criteria)</w:t>
      </w:r>
      <w:r w:rsidR="001422E0">
        <w:rPr>
          <w:rFonts w:cs="Arial"/>
        </w:rPr>
        <w:t xml:space="preserve">, </w:t>
      </w:r>
      <w:r w:rsidR="00F12A89">
        <w:rPr>
          <w:rFonts w:cs="Arial"/>
        </w:rPr>
        <w:t xml:space="preserve">to identify </w:t>
      </w:r>
      <w:r w:rsidR="00A80991">
        <w:rPr>
          <w:rFonts w:cs="Arial"/>
        </w:rPr>
        <w:t xml:space="preserve">and </w:t>
      </w:r>
      <w:r w:rsidR="001422E0">
        <w:rPr>
          <w:rFonts w:cs="Arial"/>
        </w:rPr>
        <w:t xml:space="preserve">(in some cases) </w:t>
      </w:r>
      <w:r w:rsidR="00A80991">
        <w:rPr>
          <w:rFonts w:cs="Arial"/>
        </w:rPr>
        <w:t>map significant woodlands in their respective natural heritage systems. However</w:t>
      </w:r>
      <w:r w:rsidR="00EF30EB">
        <w:rPr>
          <w:rFonts w:cs="Arial"/>
        </w:rPr>
        <w:t xml:space="preserve"> there is not often guidance </w:t>
      </w:r>
      <w:r w:rsidR="0099257A">
        <w:rPr>
          <w:rFonts w:cs="Arial"/>
        </w:rPr>
        <w:t xml:space="preserve">on how </w:t>
      </w:r>
      <w:r w:rsidR="00F12A89" w:rsidRPr="00874252">
        <w:rPr>
          <w:rFonts w:cs="Arial"/>
        </w:rPr>
        <w:t>to address woodlands</w:t>
      </w:r>
      <w:r w:rsidR="00EF30EB">
        <w:rPr>
          <w:rFonts w:cs="Arial"/>
        </w:rPr>
        <w:t xml:space="preserve"> that meet the criteria (e.g. size), but</w:t>
      </w:r>
      <w:r w:rsidR="00F12A89" w:rsidRPr="00874252">
        <w:rPr>
          <w:rFonts w:cs="Arial"/>
        </w:rPr>
        <w:t xml:space="preserve"> </w:t>
      </w:r>
      <w:r w:rsidR="001422E0">
        <w:rPr>
          <w:rFonts w:cs="Arial"/>
        </w:rPr>
        <w:t>on-the-ground evaluation reveals that the woodland is d</w:t>
      </w:r>
      <w:r w:rsidR="00201DC8">
        <w:rPr>
          <w:rFonts w:cs="Arial"/>
        </w:rPr>
        <w:t xml:space="preserve">etermined to be </w:t>
      </w:r>
      <w:r w:rsidR="00740E34">
        <w:rPr>
          <w:rFonts w:cs="Arial"/>
        </w:rPr>
        <w:t xml:space="preserve">of a lower quality or </w:t>
      </w:r>
      <w:r w:rsidR="00F12A89" w:rsidRPr="00874252">
        <w:rPr>
          <w:rFonts w:cs="Arial"/>
        </w:rPr>
        <w:t xml:space="preserve">degraded in some </w:t>
      </w:r>
      <w:r w:rsidR="00740E34">
        <w:rPr>
          <w:rFonts w:cs="Arial"/>
        </w:rPr>
        <w:t>manner</w:t>
      </w:r>
      <w:r w:rsidR="00F12A89" w:rsidRPr="00874252">
        <w:rPr>
          <w:rFonts w:cs="Arial"/>
        </w:rPr>
        <w:t xml:space="preserve"> (e.g., </w:t>
      </w:r>
      <w:r w:rsidR="00B51D9F">
        <w:rPr>
          <w:rFonts w:cs="Arial"/>
        </w:rPr>
        <w:t>composed</w:t>
      </w:r>
      <w:r w:rsidR="00F12A89" w:rsidRPr="00874252">
        <w:rPr>
          <w:rFonts w:cs="Arial"/>
        </w:rPr>
        <w:t xml:space="preserve"> of non-native species, and/or have been impacted by </w:t>
      </w:r>
      <w:r w:rsidR="00740E34">
        <w:rPr>
          <w:rFonts w:cs="Arial"/>
        </w:rPr>
        <w:t xml:space="preserve">previous </w:t>
      </w:r>
      <w:r w:rsidR="00F12A89" w:rsidRPr="00874252">
        <w:rPr>
          <w:rFonts w:cs="Arial"/>
        </w:rPr>
        <w:t>disturbance).</w:t>
      </w:r>
      <w:r w:rsidR="00ED0F45">
        <w:rPr>
          <w:rFonts w:cs="Arial"/>
        </w:rPr>
        <w:t xml:space="preserve"> </w:t>
      </w:r>
      <w:r w:rsidR="007D06C4">
        <w:rPr>
          <w:rFonts w:cs="Arial"/>
        </w:rPr>
        <w:t>Staff notes that even w</w:t>
      </w:r>
      <w:r w:rsidR="007D06C4" w:rsidRPr="00874252">
        <w:rPr>
          <w:rFonts w:cs="Arial"/>
        </w:rPr>
        <w:t xml:space="preserve">oodlands </w:t>
      </w:r>
      <w:r w:rsidR="001422E0">
        <w:rPr>
          <w:rFonts w:cs="Arial"/>
        </w:rPr>
        <w:t>comprised of</w:t>
      </w:r>
      <w:r w:rsidR="007D06C4" w:rsidRPr="00874252">
        <w:rPr>
          <w:rFonts w:cs="Arial"/>
        </w:rPr>
        <w:t xml:space="preserve"> invasive species </w:t>
      </w:r>
      <w:r w:rsidR="002F38CE">
        <w:rPr>
          <w:rFonts w:cs="Arial"/>
        </w:rPr>
        <w:t xml:space="preserve">can </w:t>
      </w:r>
      <w:r w:rsidR="007D06C4" w:rsidRPr="00874252">
        <w:rPr>
          <w:rFonts w:cs="Arial"/>
        </w:rPr>
        <w:t>still provide valuable ecological function</w:t>
      </w:r>
      <w:r w:rsidR="002F38CE">
        <w:rPr>
          <w:rFonts w:cs="Arial"/>
        </w:rPr>
        <w:t xml:space="preserve"> (i.e., connectivity</w:t>
      </w:r>
      <w:r w:rsidR="00E318C4">
        <w:rPr>
          <w:rFonts w:cs="Arial"/>
        </w:rPr>
        <w:t>/linkage function),</w:t>
      </w:r>
      <w:r w:rsidR="00605DB5">
        <w:rPr>
          <w:rFonts w:cs="Arial"/>
        </w:rPr>
        <w:t xml:space="preserve"> and that some disturbance is temporary in nature, and/or can be restored. However, there may also be some limited cases where these specific considerations </w:t>
      </w:r>
      <w:r w:rsidR="001422E0">
        <w:rPr>
          <w:rFonts w:cs="Arial"/>
        </w:rPr>
        <w:t>should be</w:t>
      </w:r>
      <w:r w:rsidR="00605DB5">
        <w:rPr>
          <w:rFonts w:cs="Arial"/>
        </w:rPr>
        <w:t xml:space="preserve"> </w:t>
      </w:r>
      <w:r w:rsidR="00C92887">
        <w:rPr>
          <w:rFonts w:cs="Arial"/>
        </w:rPr>
        <w:t>considered</w:t>
      </w:r>
      <w:r w:rsidR="001422E0">
        <w:rPr>
          <w:rFonts w:cs="Arial"/>
        </w:rPr>
        <w:t xml:space="preserve"> in assessing associated development proposals</w:t>
      </w:r>
      <w:r w:rsidR="00605DB5">
        <w:rPr>
          <w:rFonts w:cs="Arial"/>
        </w:rPr>
        <w:t xml:space="preserve">. Some municipalities are </w:t>
      </w:r>
      <w:r w:rsidR="002A67A1">
        <w:rPr>
          <w:rFonts w:cs="Arial"/>
        </w:rPr>
        <w:t xml:space="preserve">looking to address these </w:t>
      </w:r>
      <w:r w:rsidR="00767BE4">
        <w:rPr>
          <w:rFonts w:cs="Arial"/>
        </w:rPr>
        <w:t xml:space="preserve">implementation challenges through </w:t>
      </w:r>
      <w:r w:rsidR="00FC0D2B">
        <w:rPr>
          <w:rFonts w:cs="Arial"/>
        </w:rPr>
        <w:t>additional technical criteria</w:t>
      </w:r>
      <w:r w:rsidR="00C92887">
        <w:rPr>
          <w:rFonts w:cs="Arial"/>
        </w:rPr>
        <w:t>,</w:t>
      </w:r>
      <w:r w:rsidR="00FC0D2B">
        <w:rPr>
          <w:rFonts w:cs="Arial"/>
        </w:rPr>
        <w:t xml:space="preserve"> or through OP review </w:t>
      </w:r>
      <w:r w:rsidR="00CF0CF0">
        <w:rPr>
          <w:rFonts w:cs="Arial"/>
        </w:rPr>
        <w:t>updates to definitions and policies.</w:t>
      </w:r>
      <w:r w:rsidR="00CF0CF0">
        <w:rPr>
          <w:rStyle w:val="FootnoteReference"/>
          <w:rFonts w:cs="Arial"/>
        </w:rPr>
        <w:footnoteReference w:id="8"/>
      </w:r>
      <w:r w:rsidR="00C92887">
        <w:rPr>
          <w:rFonts w:cs="Arial"/>
        </w:rPr>
        <w:t xml:space="preserve"> </w:t>
      </w:r>
    </w:p>
    <w:p w14:paraId="7380523A" w14:textId="1905C2F1" w:rsidR="00B040CD" w:rsidRDefault="00B040CD" w:rsidP="00503E01">
      <w:pPr>
        <w:spacing w:after="100" w:afterAutospacing="1"/>
        <w:contextualSpacing/>
      </w:pPr>
    </w:p>
    <w:p w14:paraId="2D8B7018" w14:textId="46A42569" w:rsidR="009B70C1" w:rsidRDefault="00505810" w:rsidP="003A4E34">
      <w:pPr>
        <w:spacing w:after="100" w:afterAutospacing="1"/>
        <w:contextualSpacing/>
      </w:pPr>
      <w:r>
        <w:t>While S</w:t>
      </w:r>
      <w:r w:rsidR="009B70C1">
        <w:t xml:space="preserve">taff </w:t>
      </w:r>
      <w:r w:rsidR="00CE1C03">
        <w:t>cautions</w:t>
      </w:r>
      <w:r w:rsidR="00921D86">
        <w:t xml:space="preserve"> </w:t>
      </w:r>
      <w:r w:rsidR="009B70C1">
        <w:t>that site-specific</w:t>
      </w:r>
      <w:r w:rsidR="0075036B">
        <w:t xml:space="preserve">, individual </w:t>
      </w:r>
      <w:r w:rsidR="00B84C33">
        <w:t xml:space="preserve">development proposals should not be used as the basis to drive </w:t>
      </w:r>
      <w:r w:rsidR="00447621">
        <w:t xml:space="preserve">Plan-wide </w:t>
      </w:r>
      <w:r w:rsidR="00B84C33">
        <w:t xml:space="preserve">policy review </w:t>
      </w:r>
      <w:r w:rsidR="00CE1C03">
        <w:t>and/</w:t>
      </w:r>
      <w:r w:rsidR="00B84C33">
        <w:t>or change</w:t>
      </w:r>
      <w:r w:rsidR="000F1DD3">
        <w:t xml:space="preserve">, </w:t>
      </w:r>
      <w:r w:rsidR="00B84C33">
        <w:t xml:space="preserve">in </w:t>
      </w:r>
      <w:r w:rsidR="001B31FB">
        <w:t xml:space="preserve">the </w:t>
      </w:r>
      <w:r w:rsidR="00897A68">
        <w:t xml:space="preserve">site-specific </w:t>
      </w:r>
      <w:r>
        <w:t>examples</w:t>
      </w:r>
      <w:r w:rsidR="001B31FB">
        <w:t xml:space="preserve"> highlighted</w:t>
      </w:r>
      <w:r w:rsidR="00B84C33">
        <w:t>, the</w:t>
      </w:r>
      <w:r w:rsidR="001C1922">
        <w:t xml:space="preserve"> </w:t>
      </w:r>
      <w:r w:rsidR="00B84C33">
        <w:t xml:space="preserve">applications </w:t>
      </w:r>
      <w:r w:rsidR="001C1922">
        <w:t>des</w:t>
      </w:r>
      <w:r w:rsidR="000F1DD3">
        <w:t xml:space="preserve">cribed </w:t>
      </w:r>
      <w:r w:rsidR="00B84C33">
        <w:t xml:space="preserve">have </w:t>
      </w:r>
      <w:r w:rsidR="00921D86">
        <w:t xml:space="preserve">brought attention </w:t>
      </w:r>
      <w:r w:rsidR="008109DE">
        <w:t>to</w:t>
      </w:r>
      <w:r w:rsidR="00180706">
        <w:t xml:space="preserve"> the </w:t>
      </w:r>
      <w:r w:rsidR="00921D86">
        <w:t xml:space="preserve">possibility of a </w:t>
      </w:r>
      <w:r w:rsidR="008109DE">
        <w:t xml:space="preserve">policy conflict </w:t>
      </w:r>
      <w:r w:rsidR="00DB2CD5">
        <w:t xml:space="preserve">/ unintended </w:t>
      </w:r>
      <w:r w:rsidR="001C1922">
        <w:t xml:space="preserve">policy </w:t>
      </w:r>
      <w:r w:rsidR="00DB2CD5">
        <w:t xml:space="preserve">implication </w:t>
      </w:r>
      <w:r w:rsidR="00921D86">
        <w:t xml:space="preserve">that </w:t>
      </w:r>
      <w:r w:rsidR="001C1922">
        <w:t xml:space="preserve">has broader Plan-wide implications and </w:t>
      </w:r>
      <w:r w:rsidR="00921D86">
        <w:t>could benefit from f</w:t>
      </w:r>
      <w:r w:rsidR="00AD308C">
        <w:t>urther review</w:t>
      </w:r>
      <w:r w:rsidR="00897A68">
        <w:t xml:space="preserve"> and possible remedy through an amendment, where appropriate.</w:t>
      </w:r>
      <w:r w:rsidR="00921D86">
        <w:t xml:space="preserve"> </w:t>
      </w:r>
    </w:p>
    <w:p w14:paraId="490C9B05" w14:textId="2FAB4BFA" w:rsidR="003D1676" w:rsidRDefault="003D1676" w:rsidP="00251C3E">
      <w:pPr>
        <w:spacing w:after="100" w:afterAutospacing="1"/>
        <w:contextualSpacing/>
        <w:rPr>
          <w:rFonts w:cstheme="minorHAnsi"/>
          <w:b/>
          <w:bCs/>
          <w:lang w:val="en-US"/>
        </w:rPr>
      </w:pPr>
    </w:p>
    <w:p w14:paraId="6032E85D" w14:textId="351C7951" w:rsidR="00E0203C" w:rsidRDefault="00E0203C" w:rsidP="00251C3E">
      <w:pPr>
        <w:spacing w:after="100" w:afterAutospacing="1"/>
        <w:contextualSpacing/>
        <w:rPr>
          <w:rFonts w:cstheme="minorHAnsi"/>
          <w:b/>
          <w:bCs/>
          <w:lang w:val="en-US"/>
        </w:rPr>
      </w:pPr>
    </w:p>
    <w:p w14:paraId="27AD427B" w14:textId="09124102" w:rsidR="00E0203C" w:rsidRDefault="00E0203C" w:rsidP="00251C3E">
      <w:pPr>
        <w:spacing w:after="100" w:afterAutospacing="1"/>
        <w:contextualSpacing/>
        <w:rPr>
          <w:rFonts w:cstheme="minorHAnsi"/>
          <w:b/>
          <w:bCs/>
          <w:lang w:val="en-US"/>
        </w:rPr>
      </w:pPr>
    </w:p>
    <w:p w14:paraId="1C54B196" w14:textId="782D8262" w:rsidR="00E0203C" w:rsidRDefault="00E0203C" w:rsidP="00251C3E">
      <w:pPr>
        <w:spacing w:after="100" w:afterAutospacing="1"/>
        <w:contextualSpacing/>
        <w:rPr>
          <w:rFonts w:cstheme="minorHAnsi"/>
          <w:b/>
          <w:bCs/>
          <w:lang w:val="en-US"/>
        </w:rPr>
      </w:pPr>
    </w:p>
    <w:p w14:paraId="12711B9B" w14:textId="466E88A4" w:rsidR="00C92887" w:rsidRDefault="00C92887" w:rsidP="00251C3E">
      <w:pPr>
        <w:spacing w:after="100" w:afterAutospacing="1"/>
        <w:contextualSpacing/>
        <w:rPr>
          <w:rFonts w:cstheme="minorHAnsi"/>
          <w:b/>
          <w:bCs/>
          <w:lang w:val="en-US"/>
        </w:rPr>
      </w:pPr>
      <w:r w:rsidRPr="005C6209">
        <w:rPr>
          <w:rFonts w:cstheme="minorHAnsi"/>
          <w:b/>
          <w:bCs/>
          <w:noProof/>
          <w:lang w:val="en-US"/>
        </w:rPr>
        <w:lastRenderedPageBreak/>
        <mc:AlternateContent>
          <mc:Choice Requires="wpg">
            <w:drawing>
              <wp:anchor distT="45720" distB="45720" distL="182880" distR="182880" simplePos="0" relativeHeight="251653632" behindDoc="0" locked="0" layoutInCell="1" allowOverlap="1" wp14:anchorId="55BAFDDF" wp14:editId="547E96F4">
                <wp:simplePos x="0" y="0"/>
                <wp:positionH relativeFrom="margin">
                  <wp:posOffset>-196850</wp:posOffset>
                </wp:positionH>
                <wp:positionV relativeFrom="margin">
                  <wp:align>top</wp:align>
                </wp:positionV>
                <wp:extent cx="5987415" cy="2616200"/>
                <wp:effectExtent l="0" t="0" r="13335" b="12700"/>
                <wp:wrapSquare wrapText="bothSides"/>
                <wp:docPr id="198" name="Group 198"/>
                <wp:cNvGraphicFramePr/>
                <a:graphic xmlns:a="http://schemas.openxmlformats.org/drawingml/2006/main">
                  <a:graphicData uri="http://schemas.microsoft.com/office/word/2010/wordprocessingGroup">
                    <wpg:wgp>
                      <wpg:cNvGrpSpPr/>
                      <wpg:grpSpPr>
                        <a:xfrm>
                          <a:off x="0" y="0"/>
                          <a:ext cx="5987415" cy="2616200"/>
                          <a:chOff x="7445" y="-567248"/>
                          <a:chExt cx="3571561" cy="2174947"/>
                        </a:xfrm>
                      </wpg:grpSpPr>
                      <wps:wsp>
                        <wps:cNvPr id="199" name="Rectangle 199"/>
                        <wps:cNvSpPr/>
                        <wps:spPr>
                          <a:xfrm>
                            <a:off x="11558" y="-567248"/>
                            <a:ext cx="3567448" cy="260945"/>
                          </a:xfrm>
                          <a:prstGeom prst="rect">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782878" w14:textId="0BA90A38" w:rsidR="00BC7C86" w:rsidRPr="00BC7C86" w:rsidRDefault="00BC7C86">
                              <w:pPr>
                                <w:jc w:val="center"/>
                                <w:rPr>
                                  <w:rFonts w:asciiTheme="majorHAnsi" w:eastAsiaTheme="majorEastAsia" w:hAnsiTheme="majorHAnsi" w:cstheme="majorBidi"/>
                                  <w:color w:val="000000" w:themeColor="text1"/>
                                  <w:szCs w:val="24"/>
                                  <w:lang w:val="en-US"/>
                                </w:rPr>
                              </w:pPr>
                              <w:r w:rsidRPr="00BC7C86">
                                <w:rPr>
                                  <w:rFonts w:asciiTheme="majorHAnsi" w:eastAsiaTheme="majorEastAsia" w:hAnsiTheme="majorHAnsi" w:cstheme="majorBidi"/>
                                  <w:color w:val="000000" w:themeColor="text1"/>
                                  <w:szCs w:val="24"/>
                                  <w:lang w:val="en-US"/>
                                </w:rPr>
                                <w:t xml:space="preserve">SUMMARY RECOMMENDATION: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7445" y="-299273"/>
                            <a:ext cx="3571561" cy="1906972"/>
                          </a:xfrm>
                          <a:prstGeom prst="rect">
                            <a:avLst/>
                          </a:prstGeom>
                          <a:no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62050F89" w14:textId="21FC2CC7" w:rsidR="00A67759" w:rsidRDefault="00A67759" w:rsidP="00A67759">
                              <w:r>
                                <w:t>Staff Recommends:</w:t>
                              </w:r>
                            </w:p>
                            <w:p w14:paraId="0BEFB249" w14:textId="7567F468" w:rsidR="00BC7C86" w:rsidRPr="00A67759" w:rsidRDefault="00BC7C86" w:rsidP="00385D5D">
                              <w:pPr>
                                <w:pStyle w:val="ListParagraph"/>
                                <w:numPr>
                                  <w:ilvl w:val="0"/>
                                  <w:numId w:val="44"/>
                                </w:numPr>
                                <w:rPr>
                                  <w:szCs w:val="24"/>
                                </w:rPr>
                              </w:pPr>
                              <w:r w:rsidRPr="00A67759">
                                <w:rPr>
                                  <w:szCs w:val="24"/>
                                </w:rPr>
                                <w:t>That the current NEP prohibition of Agriculture/Agricultural uses within identified Earth Science Areas of Natural and Scientific Interest be addressed through a Plan amendment.</w:t>
                              </w:r>
                            </w:p>
                            <w:p w14:paraId="301825C1" w14:textId="77777777" w:rsidR="00385D5D" w:rsidRPr="00A67759" w:rsidRDefault="00385D5D" w:rsidP="00385D5D">
                              <w:pPr>
                                <w:pStyle w:val="ListParagraph"/>
                                <w:rPr>
                                  <w:szCs w:val="24"/>
                                </w:rPr>
                              </w:pPr>
                            </w:p>
                            <w:p w14:paraId="2FB53F63" w14:textId="5B7F8B2E" w:rsidR="00BC7C86" w:rsidRPr="00A67759" w:rsidRDefault="00BC7C86" w:rsidP="00385D5D">
                              <w:pPr>
                                <w:pStyle w:val="ListParagraph"/>
                                <w:numPr>
                                  <w:ilvl w:val="0"/>
                                  <w:numId w:val="44"/>
                                </w:numPr>
                                <w:rPr>
                                  <w:caps/>
                                  <w:color w:val="DDDDDD" w:themeColor="accent1"/>
                                  <w:szCs w:val="24"/>
                                </w:rPr>
                              </w:pPr>
                              <w:r w:rsidRPr="00A67759">
                                <w:rPr>
                                  <w:szCs w:val="24"/>
                                </w:rPr>
                                <w:t xml:space="preserve">That staff undertake additional analysis of the policies respecting the agricultural uses within Key Natural Heritage Features and ensure that policy is consistent with the provincial direction, Greenbelt Plan and other provincial guidance material, as appropriate, and in keeping with the Purpose and Objectives of the NEP. </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BAFDDF" id="Group 198" o:spid="_x0000_s1035" style="position:absolute;margin-left:-15.5pt;margin-top:0;width:471.45pt;height:206pt;z-index:251653632;mso-wrap-distance-left:14.4pt;mso-wrap-distance-top:3.6pt;mso-wrap-distance-right:14.4pt;mso-wrap-distance-bottom:3.6pt;mso-position-horizontal-relative:margin;mso-position-vertical:top;mso-position-vertical-relative:margin;mso-width-relative:margin;mso-height-relative:margin" coordorigin="74,-5672" coordsize="35715,21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">
                <v:rect id="Rectangle 199" o:spid="_x0000_s1036" style="position:absolute;left:115;top:-5672;width:35675;height:26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" fillcolor="#ddd [3204]" strokecolor="#ddd [3204]" strokeweight="2pt">
                  <v:textbox>
                    <w:txbxContent>
                      <w:p w14:paraId="2F782878" w14:textId="0BA90A38" w:rsidR="00BC7C86" w:rsidRPr="00BC7C86" w:rsidRDefault="00BC7C86">
                        <w:pPr>
                          <w:jc w:val="center"/>
                          <w:rPr>
                            <w:rFonts w:asciiTheme="majorHAnsi" w:eastAsiaTheme="majorEastAsia" w:hAnsiTheme="majorHAnsi" w:cstheme="majorBidi"/>
                            <w:color w:val="000000" w:themeColor="text1"/>
                            <w:szCs w:val="24"/>
                            <w:lang w:val="en-US"/>
                          </w:rPr>
                        </w:pPr>
                        <w:r w:rsidRPr="00BC7C86">
                          <w:rPr>
                            <w:rFonts w:asciiTheme="majorHAnsi" w:eastAsiaTheme="majorEastAsia" w:hAnsiTheme="majorHAnsi" w:cstheme="majorBidi"/>
                            <w:color w:val="000000" w:themeColor="text1"/>
                            <w:szCs w:val="24"/>
                            <w:lang w:val="en-US"/>
                          </w:rPr>
                          <w:t xml:space="preserve">SUMMARY RECOMMENDATION: </w:t>
                        </w:r>
                      </w:p>
                    </w:txbxContent>
                  </v:textbox>
                </v:rect>
                <v:shape id="Text Box 200" o:spid="_x0000_s1037" type="#_x0000_t202" style="position:absolute;left:74;top:-2992;width:35716;height:19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" filled="f" strokecolor="#ddd [3204]" strokeweight=".5pt">
                  <v:textbox inset=",7.2pt,,0">
                    <w:txbxContent>
                      <w:p w14:paraId="62050F89" w14:textId="21FC2CC7" w:rsidR="00A67759" w:rsidRDefault="00A67759" w:rsidP="00A67759">
                        <w:r>
                          <w:t>Staff Recommends:</w:t>
                        </w:r>
                      </w:p>
                      <w:p w14:paraId="0BEFB249" w14:textId="7567F468" w:rsidR="00BC7C86" w:rsidRPr="00A67759" w:rsidRDefault="00BC7C86" w:rsidP="00385D5D">
                        <w:pPr>
                          <w:pStyle w:val="ListParagraph"/>
                          <w:numPr>
                            <w:ilvl w:val="0"/>
                            <w:numId w:val="44"/>
                          </w:numPr>
                          <w:rPr>
                            <w:szCs w:val="24"/>
                          </w:rPr>
                        </w:pPr>
                        <w:r w:rsidRPr="00A67759">
                          <w:rPr>
                            <w:szCs w:val="24"/>
                          </w:rPr>
                          <w:t>That the current NEP prohibition of Agriculture/Agricultural uses within identified Earth Science Areas of Natural and Scientific Interest be addressed through a Plan amendment.</w:t>
                        </w:r>
                      </w:p>
                      <w:p w14:paraId="301825C1" w14:textId="77777777" w:rsidR="00385D5D" w:rsidRPr="00A67759" w:rsidRDefault="00385D5D" w:rsidP="00385D5D">
                        <w:pPr>
                          <w:pStyle w:val="ListParagraph"/>
                          <w:rPr>
                            <w:szCs w:val="24"/>
                          </w:rPr>
                        </w:pPr>
                      </w:p>
                      <w:p w14:paraId="2FB53F63" w14:textId="5B7F8B2E" w:rsidR="00BC7C86" w:rsidRPr="00A67759" w:rsidRDefault="00BC7C86" w:rsidP="00385D5D">
                        <w:pPr>
                          <w:pStyle w:val="ListParagraph"/>
                          <w:numPr>
                            <w:ilvl w:val="0"/>
                            <w:numId w:val="44"/>
                          </w:numPr>
                          <w:rPr>
                            <w:caps/>
                            <w:color w:val="DDDDDD" w:themeColor="accent1"/>
                            <w:szCs w:val="24"/>
                          </w:rPr>
                        </w:pPr>
                        <w:r w:rsidRPr="00A67759">
                          <w:rPr>
                            <w:szCs w:val="24"/>
                          </w:rPr>
                          <w:t xml:space="preserve">That staff undertake additional analysis of the policies respecting the agricultural uses within Key Natural Heritage Features and ensure that policy is consistent with the provincial direction, Greenbelt Plan and other provincial guidance material, as appropriate, and in keeping with the Purpose and Objectives of the NEP. </w:t>
                        </w:r>
                      </w:p>
                    </w:txbxContent>
                  </v:textbox>
                </v:shape>
                <w10:wrap type="square" anchorx="margin" anchory="margin"/>
              </v:group>
            </w:pict>
          </mc:Fallback>
        </mc:AlternateContent>
      </w:r>
    </w:p>
    <w:p w14:paraId="7DDDC9FE" w14:textId="512BC948" w:rsidR="00CD213F" w:rsidRDefault="00CD213F" w:rsidP="00251C3E">
      <w:pPr>
        <w:spacing w:after="100" w:afterAutospacing="1"/>
        <w:contextualSpacing/>
        <w:rPr>
          <w:rFonts w:cstheme="minorHAnsi"/>
          <w:b/>
          <w:bCs/>
          <w:lang w:val="en-US"/>
        </w:rPr>
      </w:pPr>
      <w:r>
        <w:rPr>
          <w:rFonts w:cstheme="minorHAnsi"/>
          <w:b/>
          <w:bCs/>
          <w:lang w:val="en-US"/>
        </w:rPr>
        <w:t>Provincial Guidelines</w:t>
      </w:r>
    </w:p>
    <w:p w14:paraId="13C419E0" w14:textId="1B45E9B3" w:rsidR="00251C3E" w:rsidRDefault="00251C3E" w:rsidP="00251C3E">
      <w:pPr>
        <w:spacing w:after="100" w:afterAutospacing="1"/>
        <w:contextualSpacing/>
        <w:rPr>
          <w:rFonts w:cstheme="minorHAnsi"/>
          <w:b/>
          <w:bCs/>
          <w:lang w:val="en-US"/>
        </w:rPr>
      </w:pPr>
    </w:p>
    <w:p w14:paraId="3FD7DEEC" w14:textId="0D8D87E3" w:rsidR="00616741" w:rsidRDefault="00CD213F" w:rsidP="00F61F85">
      <w:r>
        <w:t xml:space="preserve">To assist with the implementation of its policies and plans, the Province has released </w:t>
      </w:r>
      <w:proofErr w:type="gramStart"/>
      <w:r w:rsidR="00631441">
        <w:t>a number of</w:t>
      </w:r>
      <w:proofErr w:type="gramEnd"/>
      <w:r w:rsidR="00631441">
        <w:t xml:space="preserve"> </w:t>
      </w:r>
      <w:r>
        <w:t>guidelines and technical</w:t>
      </w:r>
      <w:r w:rsidR="00631441">
        <w:t xml:space="preserve"> supporting</w:t>
      </w:r>
      <w:r>
        <w:t xml:space="preserve"> documents outlining best practises to be employed in managing agricultural resources. Th</w:t>
      </w:r>
      <w:r w:rsidR="00616741">
        <w:t>e following guidelines are relevant to the review of NEP agricultural policies</w:t>
      </w:r>
      <w:r w:rsidR="001805A8">
        <w:t xml:space="preserve"> and staff recommend that these documents be further considered in </w:t>
      </w:r>
      <w:r w:rsidR="00FA5E17">
        <w:t xml:space="preserve">scoping and </w:t>
      </w:r>
      <w:r w:rsidR="00842245">
        <w:t>drafting a</w:t>
      </w:r>
      <w:r w:rsidR="00FA5E17">
        <w:t xml:space="preserve"> proposed </w:t>
      </w:r>
      <w:r w:rsidR="00842245">
        <w:t>NEP amendment</w:t>
      </w:r>
      <w:r w:rsidR="000D2C65">
        <w:t xml:space="preserve"> as well as Guidance material:</w:t>
      </w:r>
    </w:p>
    <w:p w14:paraId="5998D3BB" w14:textId="6575D06C" w:rsidR="00616741" w:rsidRDefault="00CD213F" w:rsidP="000D2C65">
      <w:pPr>
        <w:pStyle w:val="ListParagraph"/>
        <w:numPr>
          <w:ilvl w:val="0"/>
          <w:numId w:val="22"/>
        </w:numPr>
      </w:pPr>
      <w:r>
        <w:t>Guidelines of Permitted Uses in Ontario’s Prime Agricultural Areas, 2016, Ontario Ministry of Agriculture Food and Rural Affairs (OMAFRA), Publication 851</w:t>
      </w:r>
      <w:r w:rsidR="00616741">
        <w:t>.</w:t>
      </w:r>
    </w:p>
    <w:p w14:paraId="6EACCA35" w14:textId="741D75DE" w:rsidR="00616741" w:rsidRDefault="00CD213F" w:rsidP="000D2C65">
      <w:pPr>
        <w:pStyle w:val="ListParagraph"/>
        <w:numPr>
          <w:ilvl w:val="0"/>
          <w:numId w:val="22"/>
        </w:numPr>
      </w:pPr>
      <w:r>
        <w:t xml:space="preserve">Minimum Distance Separation (MDS) Document Formulae and Guidelines for Livestock Facility and Anaerobic Digester Odour Setback, 2017, OMAFRA, Publication 853 </w:t>
      </w:r>
    </w:p>
    <w:p w14:paraId="37D98A42" w14:textId="531F077B" w:rsidR="00616741" w:rsidRDefault="00CD213F" w:rsidP="000D2C65">
      <w:pPr>
        <w:pStyle w:val="ListParagraph"/>
        <w:numPr>
          <w:ilvl w:val="0"/>
          <w:numId w:val="22"/>
        </w:numPr>
      </w:pPr>
      <w:r>
        <w:t xml:space="preserve">Implementation Procedures for the Agricultural System in Ontario’s Greater Golden Horseshoe, Feb 2018”, OMAFRA, Publication 856 </w:t>
      </w:r>
    </w:p>
    <w:p w14:paraId="24BC7EDB" w14:textId="0FC9C77F" w:rsidR="007C700D" w:rsidRDefault="00CD213F" w:rsidP="000D2C65">
      <w:pPr>
        <w:pStyle w:val="ListParagraph"/>
        <w:numPr>
          <w:ilvl w:val="0"/>
          <w:numId w:val="22"/>
        </w:numPr>
      </w:pPr>
      <w:r>
        <w:t xml:space="preserve">Agricultural System Mapping Method, January 2018, OMAFRA, Technical Document </w:t>
      </w:r>
    </w:p>
    <w:p w14:paraId="1D4E9507" w14:textId="27F6210B" w:rsidR="00616741" w:rsidRDefault="00CD213F" w:rsidP="000D2C65">
      <w:pPr>
        <w:pStyle w:val="ListParagraph"/>
        <w:numPr>
          <w:ilvl w:val="0"/>
          <w:numId w:val="22"/>
        </w:numPr>
      </w:pPr>
      <w:r>
        <w:t xml:space="preserve">Template for Agricultural Land Base Refinements in the Greater Golden Horseshoe, OMAFRA 2018. </w:t>
      </w:r>
    </w:p>
    <w:p w14:paraId="22611B32" w14:textId="41DFEE8F" w:rsidR="00CD213F" w:rsidRDefault="000D2C65" w:rsidP="000D2C65">
      <w:pPr>
        <w:pStyle w:val="ListParagraph"/>
        <w:numPr>
          <w:ilvl w:val="0"/>
          <w:numId w:val="22"/>
        </w:numPr>
      </w:pPr>
      <w:r>
        <w:t>(</w:t>
      </w:r>
      <w:r w:rsidR="00CD213F" w:rsidRPr="000D2C65">
        <w:t>Draft</w:t>
      </w:r>
      <w:r>
        <w:t>)</w:t>
      </w:r>
      <w:r w:rsidR="00CD213F" w:rsidRPr="000D2C65">
        <w:t xml:space="preserve"> Agricultural Impact Assessment (AIA) Guid</w:t>
      </w:r>
      <w:r w:rsidR="003E0139" w:rsidRPr="000D2C65">
        <w:t>elines</w:t>
      </w:r>
      <w:r w:rsidR="00083622">
        <w:t>, March 2018</w:t>
      </w:r>
      <w:r>
        <w:t>, OMAFRA</w:t>
      </w:r>
    </w:p>
    <w:p w14:paraId="71CD810E" w14:textId="77777777" w:rsidR="00EB40FD" w:rsidRPr="00EB40FD" w:rsidRDefault="00CE304E" w:rsidP="004D20DA">
      <w:pPr>
        <w:pStyle w:val="ListParagraph"/>
        <w:numPr>
          <w:ilvl w:val="0"/>
          <w:numId w:val="22"/>
        </w:numPr>
        <w:rPr>
          <w:rFonts w:cstheme="minorHAnsi"/>
          <w:b/>
          <w:bCs/>
          <w:lang w:val="en-US"/>
        </w:rPr>
      </w:pPr>
      <w:r>
        <w:t xml:space="preserve">Greenbelt or Oak Ridges Moraine </w:t>
      </w:r>
      <w:r w:rsidR="00BD3425">
        <w:t>Technical Papers (OMNR, 2012)</w:t>
      </w:r>
      <w:r w:rsidR="001B7B8F">
        <w:t>.</w:t>
      </w:r>
      <w:r w:rsidR="000F6D69">
        <w:t xml:space="preserve"> </w:t>
      </w:r>
    </w:p>
    <w:p w14:paraId="1B263D0F" w14:textId="758105EE" w:rsidR="00314EDB" w:rsidRPr="00EB40FD" w:rsidRDefault="00314EDB" w:rsidP="00EB40FD">
      <w:pPr>
        <w:rPr>
          <w:rFonts w:cstheme="minorHAnsi"/>
          <w:b/>
          <w:bCs/>
          <w:lang w:val="en-US"/>
        </w:rPr>
      </w:pPr>
      <w:r w:rsidRPr="00EB40FD">
        <w:rPr>
          <w:rFonts w:cstheme="minorHAnsi"/>
          <w:b/>
          <w:bCs/>
          <w:lang w:val="en-US"/>
        </w:rPr>
        <w:t>Research by Others</w:t>
      </w:r>
    </w:p>
    <w:p w14:paraId="3DAA82B4" w14:textId="65197CFE" w:rsidR="00E342AB" w:rsidRDefault="005308D5" w:rsidP="00A728C4">
      <w:pPr>
        <w:rPr>
          <w:rFonts w:cstheme="minorHAnsi"/>
          <w:lang w:val="en-US"/>
        </w:rPr>
      </w:pPr>
      <w:r>
        <w:rPr>
          <w:rFonts w:cstheme="minorHAnsi"/>
          <w:lang w:val="en-US"/>
        </w:rPr>
        <w:t>University</w:t>
      </w:r>
      <w:r w:rsidR="00B403C9">
        <w:rPr>
          <w:rFonts w:cstheme="minorHAnsi"/>
          <w:lang w:val="en-US"/>
        </w:rPr>
        <w:t xml:space="preserve"> of Guelph School of Environmental Design and Rural Development has recently undertaken research</w:t>
      </w:r>
      <w:r w:rsidR="003D7632" w:rsidRPr="003D7632">
        <w:rPr>
          <w:rFonts w:cstheme="minorHAnsi"/>
          <w:i/>
          <w:iCs/>
          <w:lang w:val="en-US"/>
        </w:rPr>
        <w:t>: A</w:t>
      </w:r>
      <w:r w:rsidR="00AC3633" w:rsidRPr="003D7632">
        <w:rPr>
          <w:rFonts w:cstheme="minorHAnsi"/>
          <w:i/>
          <w:iCs/>
          <w:lang w:val="en-US"/>
        </w:rPr>
        <w:t xml:space="preserve">ssessing the effectiveness and identifying best practices for the </w:t>
      </w:r>
      <w:r w:rsidR="00B403C9" w:rsidRPr="003D7632">
        <w:rPr>
          <w:rFonts w:cstheme="minorHAnsi"/>
          <w:i/>
          <w:iCs/>
          <w:lang w:val="en-US"/>
        </w:rPr>
        <w:t xml:space="preserve">OMAFRA Guidelines on Permitted Uses </w:t>
      </w:r>
      <w:r w:rsidR="00AC3633" w:rsidRPr="003D7632">
        <w:rPr>
          <w:rFonts w:cstheme="minorHAnsi"/>
          <w:i/>
          <w:iCs/>
          <w:lang w:val="en-US"/>
        </w:rPr>
        <w:t xml:space="preserve">in Prime Agricultural Areas, </w:t>
      </w:r>
      <w:r w:rsidR="00B403C9" w:rsidRPr="003D7632">
        <w:rPr>
          <w:rFonts w:cstheme="minorHAnsi"/>
          <w:i/>
          <w:iCs/>
          <w:lang w:val="en-US"/>
        </w:rPr>
        <w:t xml:space="preserve">as </w:t>
      </w:r>
      <w:r w:rsidR="00B403C9" w:rsidRPr="003D7632">
        <w:rPr>
          <w:rFonts w:cstheme="minorHAnsi"/>
          <w:i/>
          <w:iCs/>
          <w:lang w:val="en-US"/>
        </w:rPr>
        <w:lastRenderedPageBreak/>
        <w:t>a tool to achieve farmland protection, farm diversification and provide economic benefit</w:t>
      </w:r>
      <w:r w:rsidR="00314136" w:rsidRPr="003D7632">
        <w:rPr>
          <w:rFonts w:cstheme="minorHAnsi"/>
          <w:i/>
          <w:iCs/>
          <w:lang w:val="en-US"/>
        </w:rPr>
        <w:t>.</w:t>
      </w:r>
      <w:r w:rsidR="00A04BDA">
        <w:rPr>
          <w:rStyle w:val="FootnoteReference"/>
          <w:rFonts w:cstheme="minorHAnsi"/>
          <w:lang w:val="en-US"/>
        </w:rPr>
        <w:footnoteReference w:id="9"/>
      </w:r>
      <w:r w:rsidR="00F44FB4">
        <w:rPr>
          <w:rFonts w:cstheme="minorHAnsi"/>
          <w:lang w:val="en-US"/>
        </w:rPr>
        <w:t xml:space="preserve">  </w:t>
      </w:r>
      <w:r w:rsidR="00AC3633">
        <w:rPr>
          <w:rFonts w:cstheme="minorHAnsi"/>
          <w:lang w:val="en-US"/>
        </w:rPr>
        <w:t>The research</w:t>
      </w:r>
      <w:r w:rsidR="000C2809">
        <w:rPr>
          <w:rFonts w:cstheme="minorHAnsi"/>
          <w:lang w:val="en-US"/>
        </w:rPr>
        <w:t xml:space="preserve">, </w:t>
      </w:r>
      <w:r w:rsidR="003D7632">
        <w:rPr>
          <w:rFonts w:cstheme="minorHAnsi"/>
          <w:lang w:val="en-US"/>
        </w:rPr>
        <w:t>led</w:t>
      </w:r>
      <w:r w:rsidR="000C2809">
        <w:rPr>
          <w:rFonts w:cstheme="minorHAnsi"/>
          <w:lang w:val="en-US"/>
        </w:rPr>
        <w:t xml:space="preserve"> by Professor Dr. Wayne Caldwell and </w:t>
      </w:r>
      <w:r w:rsidR="00E11323">
        <w:rPr>
          <w:rFonts w:cstheme="minorHAnsi"/>
          <w:lang w:val="en-US"/>
        </w:rPr>
        <w:t>includ</w:t>
      </w:r>
      <w:r w:rsidR="003D7632">
        <w:rPr>
          <w:rFonts w:cstheme="minorHAnsi"/>
          <w:lang w:val="en-US"/>
        </w:rPr>
        <w:t>es</w:t>
      </w:r>
      <w:r w:rsidR="00E11323">
        <w:rPr>
          <w:rFonts w:cstheme="minorHAnsi"/>
          <w:lang w:val="en-US"/>
        </w:rPr>
        <w:t xml:space="preserve"> </w:t>
      </w:r>
      <w:r w:rsidR="000C2809">
        <w:rPr>
          <w:rFonts w:cstheme="minorHAnsi"/>
          <w:lang w:val="en-US"/>
        </w:rPr>
        <w:t xml:space="preserve">contributing </w:t>
      </w:r>
      <w:r w:rsidR="003D7632">
        <w:rPr>
          <w:rFonts w:cstheme="minorHAnsi"/>
          <w:lang w:val="en-US"/>
        </w:rPr>
        <w:t>support</w:t>
      </w:r>
      <w:r w:rsidR="00E11323">
        <w:rPr>
          <w:rFonts w:cstheme="minorHAnsi"/>
          <w:lang w:val="en-US"/>
        </w:rPr>
        <w:t xml:space="preserve"> from OMAFRA</w:t>
      </w:r>
      <w:r w:rsidR="00E342AB">
        <w:rPr>
          <w:rFonts w:cstheme="minorHAnsi"/>
          <w:lang w:val="en-US"/>
        </w:rPr>
        <w:t xml:space="preserve">, </w:t>
      </w:r>
      <w:r w:rsidR="00AC3633">
        <w:rPr>
          <w:rFonts w:cstheme="minorHAnsi"/>
          <w:lang w:val="en-US"/>
        </w:rPr>
        <w:t xml:space="preserve">was recently presented to </w:t>
      </w:r>
      <w:r w:rsidR="00E342AB">
        <w:rPr>
          <w:rFonts w:cstheme="minorHAnsi"/>
          <w:lang w:val="en-US"/>
        </w:rPr>
        <w:t>the NEC Director,</w:t>
      </w:r>
      <w:r w:rsidR="000428A4">
        <w:rPr>
          <w:rFonts w:cstheme="minorHAnsi"/>
          <w:lang w:val="en-US"/>
        </w:rPr>
        <w:t xml:space="preserve"> </w:t>
      </w:r>
      <w:r w:rsidR="00E342AB">
        <w:rPr>
          <w:rFonts w:cstheme="minorHAnsi"/>
          <w:lang w:val="en-US"/>
        </w:rPr>
        <w:t>and at</w:t>
      </w:r>
      <w:r w:rsidR="000428A4">
        <w:rPr>
          <w:rFonts w:cstheme="minorHAnsi"/>
          <w:lang w:val="en-US"/>
        </w:rPr>
        <w:t xml:space="preserve"> the Ontario Provincial Planner’s Institute (OPPI) virtual conference</w:t>
      </w:r>
      <w:r w:rsidR="003D7632">
        <w:rPr>
          <w:rFonts w:cstheme="minorHAnsi"/>
          <w:lang w:val="en-US"/>
        </w:rPr>
        <w:t xml:space="preserve"> held in October</w:t>
      </w:r>
      <w:r w:rsidR="000428A4">
        <w:rPr>
          <w:rFonts w:cstheme="minorHAnsi"/>
          <w:lang w:val="en-US"/>
        </w:rPr>
        <w:t xml:space="preserve">. </w:t>
      </w:r>
    </w:p>
    <w:p w14:paraId="10ED3FD9" w14:textId="5E5B4D83" w:rsidR="00314EDB" w:rsidRDefault="00A728C4" w:rsidP="00A728C4">
      <w:pPr>
        <w:rPr>
          <w:rFonts w:cstheme="minorHAnsi"/>
          <w:lang w:val="en-US"/>
        </w:rPr>
      </w:pPr>
      <w:r>
        <w:rPr>
          <w:rFonts w:cstheme="minorHAnsi"/>
          <w:lang w:val="en-US"/>
        </w:rPr>
        <w:t xml:space="preserve">Research </w:t>
      </w:r>
      <w:r w:rsidR="00AC3633">
        <w:rPr>
          <w:rFonts w:cstheme="minorHAnsi"/>
          <w:lang w:val="en-US"/>
        </w:rPr>
        <w:t>o</w:t>
      </w:r>
      <w:r>
        <w:rPr>
          <w:rFonts w:cstheme="minorHAnsi"/>
          <w:lang w:val="en-US"/>
        </w:rPr>
        <w:t xml:space="preserve">bjectives included an evaluation of the effectiveness of policy that allows for </w:t>
      </w:r>
      <w:r w:rsidR="003D7632">
        <w:rPr>
          <w:rFonts w:cstheme="minorHAnsi"/>
          <w:lang w:val="en-US"/>
        </w:rPr>
        <w:t>ARUs</w:t>
      </w:r>
      <w:r>
        <w:rPr>
          <w:rFonts w:cstheme="minorHAnsi"/>
          <w:lang w:val="en-US"/>
        </w:rPr>
        <w:t xml:space="preserve"> and OFDUs within the Province, identifying existing policies and strategies used to encourage agriculture-related policies, and an evaluation of the specific policy effects on farmers.  </w:t>
      </w:r>
      <w:r w:rsidR="00F44FB4">
        <w:rPr>
          <w:rFonts w:cstheme="minorHAnsi"/>
          <w:lang w:val="en-US"/>
        </w:rPr>
        <w:t>Study methodolog</w:t>
      </w:r>
      <w:r w:rsidR="00085C92">
        <w:rPr>
          <w:rFonts w:cstheme="minorHAnsi"/>
          <w:lang w:val="en-US"/>
        </w:rPr>
        <w:t>ies</w:t>
      </w:r>
      <w:r w:rsidR="00F44FB4">
        <w:rPr>
          <w:rFonts w:cstheme="minorHAnsi"/>
          <w:lang w:val="en-US"/>
        </w:rPr>
        <w:t xml:space="preserve"> included literature review, </w:t>
      </w:r>
      <w:r w:rsidR="00085C92">
        <w:rPr>
          <w:rFonts w:cstheme="minorHAnsi"/>
          <w:lang w:val="en-US"/>
        </w:rPr>
        <w:t>s</w:t>
      </w:r>
      <w:r w:rsidR="00F44FB4">
        <w:rPr>
          <w:rFonts w:cstheme="minorHAnsi"/>
          <w:lang w:val="en-US"/>
        </w:rPr>
        <w:t>urvey to municipal planning departments and farmer</w:t>
      </w:r>
      <w:r w:rsidR="00085C92">
        <w:rPr>
          <w:rFonts w:cstheme="minorHAnsi"/>
          <w:lang w:val="en-US"/>
        </w:rPr>
        <w:t>s</w:t>
      </w:r>
      <w:r w:rsidR="00794529">
        <w:rPr>
          <w:rFonts w:cstheme="minorHAnsi"/>
          <w:lang w:val="en-US"/>
        </w:rPr>
        <w:t>, interviews with provincial and municipal planners and farmers, a jurisdictional scan of municipal policies and strategies</w:t>
      </w:r>
      <w:r w:rsidR="007832E2">
        <w:rPr>
          <w:rFonts w:cstheme="minorHAnsi"/>
          <w:lang w:val="en-US"/>
        </w:rPr>
        <w:t>, and focus groups with provincial/municipal planners and farmers.</w:t>
      </w:r>
      <w:r w:rsidR="002D3CAF">
        <w:rPr>
          <w:rFonts w:cstheme="minorHAnsi"/>
          <w:lang w:val="en-US"/>
        </w:rPr>
        <w:t xml:space="preserve"> </w:t>
      </w:r>
      <w:r w:rsidR="001C56E7">
        <w:rPr>
          <w:rFonts w:cstheme="minorHAnsi"/>
          <w:lang w:val="en-US"/>
        </w:rPr>
        <w:t>All</w:t>
      </w:r>
      <w:r w:rsidR="000E46E2">
        <w:rPr>
          <w:rFonts w:cstheme="minorHAnsi"/>
          <w:lang w:val="en-US"/>
        </w:rPr>
        <w:t xml:space="preserve"> the </w:t>
      </w:r>
      <w:r w:rsidR="00037653">
        <w:rPr>
          <w:rFonts w:cstheme="minorHAnsi"/>
          <w:lang w:val="en-US"/>
        </w:rPr>
        <w:t>NEP</w:t>
      </w:r>
      <w:r w:rsidR="000E46E2">
        <w:rPr>
          <w:rFonts w:cstheme="minorHAnsi"/>
          <w:lang w:val="en-US"/>
        </w:rPr>
        <w:t xml:space="preserve"> Area Regions and Counties were included in the scope of the research. </w:t>
      </w:r>
    </w:p>
    <w:p w14:paraId="3E4BE6F3" w14:textId="3755E56A" w:rsidR="00497E43" w:rsidRDefault="00497E43" w:rsidP="00F61F85">
      <w:pPr>
        <w:rPr>
          <w:rFonts w:cstheme="minorHAnsi"/>
          <w:lang w:val="en-US"/>
        </w:rPr>
      </w:pPr>
      <w:r>
        <w:rPr>
          <w:rFonts w:cstheme="minorHAnsi"/>
          <w:lang w:val="en-US"/>
        </w:rPr>
        <w:t xml:space="preserve">While the </w:t>
      </w:r>
      <w:r w:rsidR="0055361B">
        <w:rPr>
          <w:rFonts w:cstheme="minorHAnsi"/>
          <w:lang w:val="en-US"/>
        </w:rPr>
        <w:t>results</w:t>
      </w:r>
      <w:r>
        <w:rPr>
          <w:rFonts w:cstheme="minorHAnsi"/>
          <w:lang w:val="en-US"/>
        </w:rPr>
        <w:t xml:space="preserve"> </w:t>
      </w:r>
      <w:r w:rsidR="008A27CA">
        <w:rPr>
          <w:rFonts w:cstheme="minorHAnsi"/>
          <w:lang w:val="en-US"/>
        </w:rPr>
        <w:t xml:space="preserve">of the research </w:t>
      </w:r>
      <w:r>
        <w:rPr>
          <w:rFonts w:cstheme="minorHAnsi"/>
          <w:lang w:val="en-US"/>
        </w:rPr>
        <w:t xml:space="preserve">have yet to be </w:t>
      </w:r>
      <w:r w:rsidR="008A27CA">
        <w:rPr>
          <w:rFonts w:cstheme="minorHAnsi"/>
          <w:lang w:val="en-US"/>
        </w:rPr>
        <w:t xml:space="preserve">formally </w:t>
      </w:r>
      <w:r>
        <w:rPr>
          <w:rFonts w:cstheme="minorHAnsi"/>
          <w:lang w:val="en-US"/>
        </w:rPr>
        <w:t>released, key research findings</w:t>
      </w:r>
      <w:r w:rsidR="00085C92">
        <w:rPr>
          <w:rFonts w:cstheme="minorHAnsi"/>
          <w:lang w:val="en-US"/>
        </w:rPr>
        <w:t xml:space="preserve"> presented to date</w:t>
      </w:r>
      <w:r>
        <w:rPr>
          <w:rFonts w:cstheme="minorHAnsi"/>
          <w:lang w:val="en-US"/>
        </w:rPr>
        <w:t xml:space="preserve"> </w:t>
      </w:r>
      <w:r w:rsidR="0055361B">
        <w:rPr>
          <w:rFonts w:cstheme="minorHAnsi"/>
          <w:lang w:val="en-US"/>
        </w:rPr>
        <w:t>include:</w:t>
      </w:r>
    </w:p>
    <w:p w14:paraId="5A26F425" w14:textId="5DD46806" w:rsidR="0055361B" w:rsidRDefault="00085C92" w:rsidP="0055361B">
      <w:pPr>
        <w:pStyle w:val="ListParagraph"/>
        <w:numPr>
          <w:ilvl w:val="0"/>
          <w:numId w:val="15"/>
        </w:numPr>
        <w:rPr>
          <w:rFonts w:cstheme="minorHAnsi"/>
          <w:lang w:val="en-US"/>
        </w:rPr>
      </w:pPr>
      <w:r>
        <w:rPr>
          <w:rFonts w:cstheme="minorHAnsi"/>
          <w:lang w:val="en-US"/>
        </w:rPr>
        <w:t>t</w:t>
      </w:r>
      <w:r w:rsidR="0055361B">
        <w:rPr>
          <w:rFonts w:cstheme="minorHAnsi"/>
          <w:lang w:val="en-US"/>
        </w:rPr>
        <w:t>he OMAFRA Guidelines are a valuable and useful took but may be currently underutilized by municipal counterparts.</w:t>
      </w:r>
    </w:p>
    <w:p w14:paraId="62FC58FE" w14:textId="0D392E2A" w:rsidR="00B32369" w:rsidRDefault="00085C92" w:rsidP="00B32369">
      <w:pPr>
        <w:pStyle w:val="ListParagraph"/>
        <w:numPr>
          <w:ilvl w:val="0"/>
          <w:numId w:val="15"/>
        </w:numPr>
        <w:rPr>
          <w:rFonts w:cstheme="minorHAnsi"/>
          <w:lang w:val="en-US"/>
        </w:rPr>
      </w:pPr>
      <w:r>
        <w:rPr>
          <w:rFonts w:cstheme="minorHAnsi"/>
          <w:lang w:val="en-US"/>
        </w:rPr>
        <w:t>u</w:t>
      </w:r>
      <w:r w:rsidR="00D27370">
        <w:rPr>
          <w:rFonts w:cstheme="minorHAnsi"/>
          <w:lang w:val="en-US"/>
        </w:rPr>
        <w:t xml:space="preserve">pdates </w:t>
      </w:r>
      <w:r w:rsidR="00FB5809">
        <w:rPr>
          <w:rFonts w:cstheme="minorHAnsi"/>
          <w:lang w:val="en-US"/>
        </w:rPr>
        <w:t>to</w:t>
      </w:r>
      <w:r w:rsidR="00D27370">
        <w:rPr>
          <w:rFonts w:cstheme="minorHAnsi"/>
          <w:lang w:val="en-US"/>
        </w:rPr>
        <w:t xml:space="preserve"> the </w:t>
      </w:r>
      <w:r w:rsidR="00FB5809">
        <w:rPr>
          <w:rFonts w:cstheme="minorHAnsi"/>
          <w:lang w:val="en-US"/>
        </w:rPr>
        <w:t>OMAFRA</w:t>
      </w:r>
      <w:r>
        <w:rPr>
          <w:rFonts w:cstheme="minorHAnsi"/>
          <w:lang w:val="en-US"/>
        </w:rPr>
        <w:t xml:space="preserve"> </w:t>
      </w:r>
      <w:r w:rsidR="00D27370">
        <w:rPr>
          <w:rFonts w:cstheme="minorHAnsi"/>
          <w:lang w:val="en-US"/>
        </w:rPr>
        <w:t>Guidelines</w:t>
      </w:r>
      <w:r>
        <w:rPr>
          <w:rFonts w:cstheme="minorHAnsi"/>
          <w:lang w:val="en-US"/>
        </w:rPr>
        <w:t xml:space="preserve"> are required,</w:t>
      </w:r>
      <w:r w:rsidR="00D27370">
        <w:rPr>
          <w:rFonts w:cstheme="minorHAnsi"/>
          <w:lang w:val="en-US"/>
        </w:rPr>
        <w:t xml:space="preserve"> including </w:t>
      </w:r>
      <w:r w:rsidR="00A77BE5">
        <w:rPr>
          <w:rFonts w:cstheme="minorHAnsi"/>
          <w:lang w:val="en-US"/>
        </w:rPr>
        <w:t xml:space="preserve">better differentiating between </w:t>
      </w:r>
      <w:r w:rsidR="00FE45DC">
        <w:rPr>
          <w:rFonts w:cstheme="minorHAnsi"/>
          <w:lang w:val="en-US"/>
        </w:rPr>
        <w:t>ARUs</w:t>
      </w:r>
      <w:r w:rsidR="00A77BE5">
        <w:rPr>
          <w:rFonts w:cstheme="minorHAnsi"/>
          <w:lang w:val="en-US"/>
        </w:rPr>
        <w:t xml:space="preserve"> and</w:t>
      </w:r>
      <w:r w:rsidR="00FE45DC">
        <w:rPr>
          <w:rFonts w:cstheme="minorHAnsi"/>
          <w:lang w:val="en-US"/>
        </w:rPr>
        <w:t xml:space="preserve"> OFDUs</w:t>
      </w:r>
      <w:r w:rsidR="00B32369">
        <w:rPr>
          <w:rFonts w:cstheme="minorHAnsi"/>
          <w:lang w:val="en-US"/>
        </w:rPr>
        <w:t>, and more guidance on even</w:t>
      </w:r>
      <w:r w:rsidR="00E25389">
        <w:rPr>
          <w:rFonts w:cstheme="minorHAnsi"/>
          <w:lang w:val="en-US"/>
        </w:rPr>
        <w:t>t</w:t>
      </w:r>
      <w:r w:rsidR="00B32369">
        <w:rPr>
          <w:rFonts w:cstheme="minorHAnsi"/>
          <w:lang w:val="en-US"/>
        </w:rPr>
        <w:t xml:space="preserve"> venues and cumulative uses.</w:t>
      </w:r>
    </w:p>
    <w:p w14:paraId="29A3ABF8" w14:textId="7A5CDCEA" w:rsidR="00EF6A1F" w:rsidRPr="000D2C65" w:rsidRDefault="00EF6A1F" w:rsidP="00EF6A1F">
      <w:pPr>
        <w:pStyle w:val="ListParagraph"/>
        <w:numPr>
          <w:ilvl w:val="0"/>
          <w:numId w:val="16"/>
        </w:numPr>
        <w:rPr>
          <w:rFonts w:cstheme="minorHAnsi"/>
          <w:b/>
          <w:bCs/>
          <w:lang w:val="en-US"/>
        </w:rPr>
      </w:pPr>
      <w:r w:rsidRPr="009C1F21">
        <w:rPr>
          <w:rFonts w:cstheme="minorHAnsi"/>
          <w:lang w:val="en-US"/>
        </w:rPr>
        <w:t>Niagara Escarpment Plan Policy Part 1.4.3.2 should be amend</w:t>
      </w:r>
      <w:r w:rsidR="006F0281" w:rsidRPr="009C1F21">
        <w:rPr>
          <w:rFonts w:cstheme="minorHAnsi"/>
          <w:lang w:val="en-US"/>
        </w:rPr>
        <w:t xml:space="preserve">ed to omit the requirement </w:t>
      </w:r>
      <w:r w:rsidR="006F0281" w:rsidRPr="009C1F21">
        <w:rPr>
          <w:rFonts w:cstheme="minorHAnsi"/>
          <w:i/>
          <w:iCs/>
          <w:lang w:val="en-US"/>
        </w:rPr>
        <w:t>“in prime agricultural areas</w:t>
      </w:r>
      <w:r w:rsidR="009C1F21">
        <w:rPr>
          <w:rFonts w:cstheme="minorHAnsi"/>
          <w:i/>
          <w:iCs/>
          <w:lang w:val="en-US"/>
        </w:rPr>
        <w:t>.</w:t>
      </w:r>
      <w:r w:rsidR="006F0281" w:rsidRPr="009C1F21">
        <w:rPr>
          <w:rFonts w:cstheme="minorHAnsi"/>
          <w:i/>
          <w:iCs/>
          <w:lang w:val="en-US"/>
        </w:rPr>
        <w:t>”</w:t>
      </w:r>
      <w:r w:rsidR="006F0281" w:rsidRPr="000D2C65">
        <w:rPr>
          <w:rFonts w:cstheme="minorHAnsi"/>
          <w:b/>
          <w:bCs/>
          <w:lang w:val="en-US"/>
        </w:rPr>
        <w:t xml:space="preserve"> </w:t>
      </w:r>
    </w:p>
    <w:p w14:paraId="2D429DE5" w14:textId="17F75FB0" w:rsidR="006F0281" w:rsidRPr="000D2C65" w:rsidRDefault="000E7A4D" w:rsidP="00EF6A1F">
      <w:pPr>
        <w:pStyle w:val="ListParagraph"/>
        <w:numPr>
          <w:ilvl w:val="0"/>
          <w:numId w:val="16"/>
        </w:numPr>
        <w:rPr>
          <w:rFonts w:cstheme="minorHAnsi"/>
          <w:lang w:val="en-US"/>
        </w:rPr>
      </w:pPr>
      <w:r w:rsidRPr="000D2C65">
        <w:rPr>
          <w:rFonts w:cstheme="minorHAnsi"/>
          <w:lang w:val="en-US"/>
        </w:rPr>
        <w:t xml:space="preserve">Additional research related to on-farm diversification policy, specifically on the impacts of OFDUs to </w:t>
      </w:r>
      <w:r w:rsidR="00440317" w:rsidRPr="000D2C65">
        <w:rPr>
          <w:rFonts w:cstheme="minorHAnsi"/>
          <w:lang w:val="en-US"/>
        </w:rPr>
        <w:t>surrounding agricultural operations a</w:t>
      </w:r>
      <w:r w:rsidR="00BD272D" w:rsidRPr="000D2C65">
        <w:rPr>
          <w:rFonts w:cstheme="minorHAnsi"/>
          <w:lang w:val="en-US"/>
        </w:rPr>
        <w:t>s</w:t>
      </w:r>
      <w:r w:rsidR="00440317" w:rsidRPr="000D2C65">
        <w:rPr>
          <w:rFonts w:cstheme="minorHAnsi"/>
          <w:lang w:val="en-US"/>
        </w:rPr>
        <w:t xml:space="preserve"> well as </w:t>
      </w:r>
      <w:r w:rsidR="00BD272D" w:rsidRPr="000D2C65">
        <w:rPr>
          <w:rFonts w:cstheme="minorHAnsi"/>
          <w:lang w:val="en-US"/>
        </w:rPr>
        <w:t>c</w:t>
      </w:r>
      <w:r w:rsidR="00440317" w:rsidRPr="000D2C65">
        <w:rPr>
          <w:rFonts w:cstheme="minorHAnsi"/>
          <w:lang w:val="en-US"/>
        </w:rPr>
        <w:t xml:space="preserve">umulative effects resulting from OFDUs in the agricultural area. </w:t>
      </w:r>
    </w:p>
    <w:p w14:paraId="081E9D3C" w14:textId="2B51C363" w:rsidR="00BD272D" w:rsidRPr="00BD272D" w:rsidRDefault="00344958" w:rsidP="00BD272D">
      <w:pPr>
        <w:rPr>
          <w:rFonts w:cstheme="minorHAnsi"/>
          <w:lang w:val="en-US"/>
        </w:rPr>
      </w:pPr>
      <w:r>
        <w:rPr>
          <w:rFonts w:cstheme="minorHAnsi"/>
          <w:lang w:val="en-US"/>
        </w:rPr>
        <w:t>R</w:t>
      </w:r>
      <w:r w:rsidR="00BD272D">
        <w:rPr>
          <w:rFonts w:cstheme="minorHAnsi"/>
          <w:lang w:val="en-US"/>
        </w:rPr>
        <w:t xml:space="preserve">ecommendations </w:t>
      </w:r>
      <w:r>
        <w:rPr>
          <w:rFonts w:cstheme="minorHAnsi"/>
          <w:lang w:val="en-US"/>
        </w:rPr>
        <w:t>t</w:t>
      </w:r>
      <w:r w:rsidR="00925A1A">
        <w:rPr>
          <w:rFonts w:cstheme="minorHAnsi"/>
          <w:lang w:val="en-US"/>
        </w:rPr>
        <w:t>argeted t</w:t>
      </w:r>
      <w:r>
        <w:rPr>
          <w:rFonts w:cstheme="minorHAnsi"/>
          <w:lang w:val="en-US"/>
        </w:rPr>
        <w:t xml:space="preserve">o </w:t>
      </w:r>
      <w:r w:rsidR="006D0D87">
        <w:rPr>
          <w:rFonts w:cstheme="minorHAnsi"/>
          <w:lang w:val="en-US"/>
        </w:rPr>
        <w:t xml:space="preserve">the </w:t>
      </w:r>
      <w:r w:rsidR="006C7928">
        <w:rPr>
          <w:rFonts w:cstheme="minorHAnsi"/>
          <w:lang w:val="en-US"/>
        </w:rPr>
        <w:t xml:space="preserve">agricultural </w:t>
      </w:r>
      <w:r w:rsidR="00DD0FC5">
        <w:rPr>
          <w:rFonts w:cstheme="minorHAnsi"/>
          <w:lang w:val="en-US"/>
        </w:rPr>
        <w:t>community</w:t>
      </w:r>
      <w:r>
        <w:rPr>
          <w:rFonts w:cstheme="minorHAnsi"/>
          <w:lang w:val="en-US"/>
        </w:rPr>
        <w:t xml:space="preserve"> </w:t>
      </w:r>
      <w:r w:rsidR="00E25389">
        <w:rPr>
          <w:rFonts w:cstheme="minorHAnsi"/>
          <w:lang w:val="en-US"/>
        </w:rPr>
        <w:t>include</w:t>
      </w:r>
      <w:r w:rsidR="00097A34">
        <w:rPr>
          <w:rFonts w:cstheme="minorHAnsi"/>
          <w:lang w:val="en-US"/>
        </w:rPr>
        <w:t xml:space="preserve"> that farmers should </w:t>
      </w:r>
      <w:r w:rsidR="001063AF">
        <w:rPr>
          <w:rFonts w:cstheme="minorHAnsi"/>
          <w:lang w:val="en-US"/>
        </w:rPr>
        <w:t xml:space="preserve">be encouraged to prepare detailed business plans prior to the creation of OFDUs and </w:t>
      </w:r>
      <w:r w:rsidR="00097A34">
        <w:rPr>
          <w:rFonts w:cstheme="minorHAnsi"/>
          <w:lang w:val="en-US"/>
        </w:rPr>
        <w:t xml:space="preserve">evaluate the potential impacts of OFDUs on agricultural operations and identify strategies to mitigate these impacts. </w:t>
      </w:r>
    </w:p>
    <w:p w14:paraId="27ADD528" w14:textId="6AFD4010" w:rsidR="00230AB7" w:rsidRDefault="00122BB2" w:rsidP="00F61F85">
      <w:pPr>
        <w:rPr>
          <w:rFonts w:cstheme="minorHAnsi"/>
          <w:lang w:val="en-US"/>
        </w:rPr>
      </w:pPr>
      <w:r w:rsidRPr="00411062">
        <w:rPr>
          <w:rFonts w:cstheme="minorHAnsi"/>
          <w:lang w:val="en-US"/>
        </w:rPr>
        <w:t>NEC staff is of the opinion</w:t>
      </w:r>
      <w:r w:rsidR="00114437" w:rsidRPr="00411062">
        <w:rPr>
          <w:rFonts w:cstheme="minorHAnsi"/>
          <w:lang w:val="en-US"/>
        </w:rPr>
        <w:t xml:space="preserve"> that the </w:t>
      </w:r>
      <w:r w:rsidR="0053673A" w:rsidRPr="00411062">
        <w:rPr>
          <w:rFonts w:cstheme="minorHAnsi"/>
          <w:lang w:val="en-US"/>
        </w:rPr>
        <w:t>results</w:t>
      </w:r>
      <w:r w:rsidR="00114437" w:rsidRPr="00411062">
        <w:rPr>
          <w:rFonts w:cstheme="minorHAnsi"/>
          <w:lang w:val="en-US"/>
        </w:rPr>
        <w:t xml:space="preserve"> of this research </w:t>
      </w:r>
      <w:r w:rsidR="008E4B8D" w:rsidRPr="00411062">
        <w:rPr>
          <w:rFonts w:cstheme="minorHAnsi"/>
          <w:lang w:val="en-US"/>
        </w:rPr>
        <w:t>would</w:t>
      </w:r>
      <w:r w:rsidRPr="00411062">
        <w:rPr>
          <w:rFonts w:cstheme="minorHAnsi"/>
          <w:lang w:val="en-US"/>
        </w:rPr>
        <w:t xml:space="preserve"> </w:t>
      </w:r>
      <w:r w:rsidR="00114437" w:rsidRPr="00411062">
        <w:rPr>
          <w:rFonts w:cstheme="minorHAnsi"/>
          <w:lang w:val="en-US"/>
        </w:rPr>
        <w:t xml:space="preserve">be valuable in consideration of </w:t>
      </w:r>
      <w:r w:rsidR="007A20FA">
        <w:rPr>
          <w:rFonts w:cstheme="minorHAnsi"/>
          <w:lang w:val="en-US"/>
        </w:rPr>
        <w:t xml:space="preserve">the </w:t>
      </w:r>
      <w:r w:rsidRPr="00411062">
        <w:rPr>
          <w:rFonts w:cstheme="minorHAnsi"/>
          <w:lang w:val="en-US"/>
        </w:rPr>
        <w:t xml:space="preserve">scoping </w:t>
      </w:r>
      <w:r w:rsidR="007A20FA">
        <w:rPr>
          <w:rFonts w:cstheme="minorHAnsi"/>
          <w:lang w:val="en-US"/>
        </w:rPr>
        <w:t xml:space="preserve">of </w:t>
      </w:r>
      <w:r w:rsidRPr="00411062">
        <w:rPr>
          <w:rFonts w:cstheme="minorHAnsi"/>
          <w:lang w:val="en-US"/>
        </w:rPr>
        <w:t>potential</w:t>
      </w:r>
      <w:r w:rsidR="00114437" w:rsidRPr="00411062">
        <w:rPr>
          <w:rFonts w:cstheme="minorHAnsi"/>
          <w:lang w:val="en-US"/>
        </w:rPr>
        <w:t xml:space="preserve"> </w:t>
      </w:r>
      <w:r w:rsidR="00EB3906" w:rsidRPr="00411062">
        <w:rPr>
          <w:rFonts w:cstheme="minorHAnsi"/>
          <w:lang w:val="en-US"/>
        </w:rPr>
        <w:t>amendments to the NEP</w:t>
      </w:r>
      <w:r w:rsidRPr="00411062">
        <w:rPr>
          <w:rFonts w:cstheme="minorHAnsi"/>
          <w:lang w:val="en-US"/>
        </w:rPr>
        <w:t xml:space="preserve"> respecting OFDUs</w:t>
      </w:r>
      <w:r w:rsidR="00411062">
        <w:rPr>
          <w:rFonts w:cstheme="minorHAnsi"/>
          <w:lang w:val="en-US"/>
        </w:rPr>
        <w:t xml:space="preserve"> and ARUs</w:t>
      </w:r>
      <w:r w:rsidR="00EB3906" w:rsidRPr="00411062">
        <w:rPr>
          <w:rFonts w:cstheme="minorHAnsi"/>
          <w:lang w:val="en-US"/>
        </w:rPr>
        <w:t xml:space="preserve">, as well as </w:t>
      </w:r>
      <w:r w:rsidR="00411062">
        <w:rPr>
          <w:rFonts w:cstheme="minorHAnsi"/>
          <w:lang w:val="en-US"/>
        </w:rPr>
        <w:t>in</w:t>
      </w:r>
      <w:r w:rsidR="00EB3906" w:rsidRPr="00411062">
        <w:rPr>
          <w:rFonts w:cstheme="minorHAnsi"/>
          <w:lang w:val="en-US"/>
        </w:rPr>
        <w:t xml:space="preserve"> the preparation of </w:t>
      </w:r>
      <w:r w:rsidR="008E4B8D" w:rsidRPr="00411062">
        <w:rPr>
          <w:rFonts w:cstheme="minorHAnsi"/>
          <w:lang w:val="en-US"/>
        </w:rPr>
        <w:t>g</w:t>
      </w:r>
      <w:r w:rsidR="00EB3906" w:rsidRPr="00411062">
        <w:rPr>
          <w:rFonts w:cstheme="minorHAnsi"/>
          <w:lang w:val="en-US"/>
        </w:rPr>
        <w:t>uidance material</w:t>
      </w:r>
      <w:r w:rsidRPr="00411062">
        <w:rPr>
          <w:rFonts w:cstheme="minorHAnsi"/>
          <w:lang w:val="en-US"/>
        </w:rPr>
        <w:t xml:space="preserve"> (for those topic areas that are identified to continue </w:t>
      </w:r>
      <w:r w:rsidR="008E4B8D" w:rsidRPr="00411062">
        <w:rPr>
          <w:rFonts w:cstheme="minorHAnsi"/>
          <w:lang w:val="en-US"/>
        </w:rPr>
        <w:t>through that stream</w:t>
      </w:r>
      <w:r w:rsidRPr="00411062">
        <w:rPr>
          <w:rFonts w:cstheme="minorHAnsi"/>
          <w:lang w:val="en-US"/>
        </w:rPr>
        <w:t>)</w:t>
      </w:r>
      <w:r w:rsidR="00EB3906" w:rsidRPr="00411062">
        <w:rPr>
          <w:rFonts w:cstheme="minorHAnsi"/>
          <w:lang w:val="en-US"/>
        </w:rPr>
        <w:t xml:space="preserve">. </w:t>
      </w:r>
      <w:r w:rsidR="00556DE6" w:rsidRPr="00411062">
        <w:rPr>
          <w:rFonts w:cstheme="minorHAnsi"/>
          <w:lang w:val="en-US"/>
        </w:rPr>
        <w:t xml:space="preserve">Of particular interest </w:t>
      </w:r>
      <w:r w:rsidR="00230AB7" w:rsidRPr="00411062">
        <w:rPr>
          <w:rFonts w:cstheme="minorHAnsi"/>
          <w:lang w:val="en-US"/>
        </w:rPr>
        <w:t>and relevance is the recommendation identifying the need for updates</w:t>
      </w:r>
      <w:r w:rsidR="008770A7">
        <w:rPr>
          <w:rFonts w:cstheme="minorHAnsi"/>
          <w:lang w:val="en-US"/>
        </w:rPr>
        <w:t xml:space="preserve"> to the</w:t>
      </w:r>
      <w:r w:rsidR="00230AB7" w:rsidRPr="00411062">
        <w:rPr>
          <w:rFonts w:cstheme="minorHAnsi"/>
          <w:lang w:val="en-US"/>
        </w:rPr>
        <w:t xml:space="preserve"> OMAFRA Guidelines, </w:t>
      </w:r>
      <w:r w:rsidR="00557D67">
        <w:rPr>
          <w:rFonts w:cstheme="minorHAnsi"/>
          <w:lang w:val="en-US"/>
        </w:rPr>
        <w:t xml:space="preserve">and additional research </w:t>
      </w:r>
      <w:r w:rsidR="00267576">
        <w:rPr>
          <w:rFonts w:cstheme="minorHAnsi"/>
          <w:lang w:val="en-US"/>
        </w:rPr>
        <w:t xml:space="preserve">on land use compatibility matters, including cumulative effects, </w:t>
      </w:r>
      <w:r w:rsidR="00267576">
        <w:rPr>
          <w:rFonts w:cstheme="minorHAnsi"/>
          <w:lang w:val="en-US"/>
        </w:rPr>
        <w:lastRenderedPageBreak/>
        <w:t>which</w:t>
      </w:r>
      <w:r w:rsidR="00C553E4">
        <w:rPr>
          <w:rFonts w:cstheme="minorHAnsi"/>
          <w:lang w:val="en-US"/>
        </w:rPr>
        <w:t xml:space="preserve"> is a key </w:t>
      </w:r>
      <w:r w:rsidR="007068C1">
        <w:rPr>
          <w:rFonts w:cstheme="minorHAnsi"/>
          <w:lang w:val="en-US"/>
        </w:rPr>
        <w:t xml:space="preserve">consideration </w:t>
      </w:r>
      <w:r w:rsidR="00003C6A">
        <w:rPr>
          <w:rFonts w:cstheme="minorHAnsi"/>
          <w:lang w:val="en-US"/>
        </w:rPr>
        <w:t xml:space="preserve">in the NEP, </w:t>
      </w:r>
      <w:r w:rsidR="00212BA7">
        <w:rPr>
          <w:rFonts w:cstheme="minorHAnsi"/>
          <w:lang w:val="en-US"/>
        </w:rPr>
        <w:t>for ensuring that the Purpose and Objectives of the NEP are achieved</w:t>
      </w:r>
      <w:r w:rsidR="00003C6A">
        <w:rPr>
          <w:rFonts w:cstheme="minorHAnsi"/>
          <w:lang w:val="en-US"/>
        </w:rPr>
        <w:t xml:space="preserve"> over the long-term, and at a landscape level.</w:t>
      </w:r>
    </w:p>
    <w:p w14:paraId="3A593993" w14:textId="6175C2EE" w:rsidR="00314EDB" w:rsidRPr="00EB40FD" w:rsidRDefault="0053673A" w:rsidP="00F61F85">
      <w:pPr>
        <w:rPr>
          <w:rFonts w:cstheme="minorHAnsi"/>
          <w:color w:val="000000" w:themeColor="text1"/>
          <w:lang w:val="en-US"/>
        </w:rPr>
      </w:pPr>
      <w:r w:rsidRPr="00EB40FD">
        <w:rPr>
          <w:rFonts w:cstheme="minorHAnsi"/>
          <w:color w:val="000000" w:themeColor="text1"/>
          <w:lang w:val="en-US"/>
        </w:rPr>
        <w:t xml:space="preserve">Staff recommends that it </w:t>
      </w:r>
      <w:r w:rsidR="003A24EA" w:rsidRPr="00EB40FD">
        <w:rPr>
          <w:rFonts w:cstheme="minorHAnsi"/>
          <w:color w:val="000000" w:themeColor="text1"/>
          <w:lang w:val="en-US"/>
        </w:rPr>
        <w:t>would be beneficial</w:t>
      </w:r>
      <w:r w:rsidRPr="00EB40FD">
        <w:rPr>
          <w:rFonts w:cstheme="minorHAnsi"/>
          <w:color w:val="000000" w:themeColor="text1"/>
          <w:lang w:val="en-US"/>
        </w:rPr>
        <w:t xml:space="preserve"> </w:t>
      </w:r>
      <w:r w:rsidR="00783646" w:rsidRPr="00EB40FD">
        <w:rPr>
          <w:rFonts w:cstheme="minorHAnsi"/>
          <w:color w:val="000000" w:themeColor="text1"/>
          <w:lang w:val="en-US"/>
        </w:rPr>
        <w:t>for the Commission to receive a presentation on the research</w:t>
      </w:r>
      <w:r w:rsidR="00556DE6" w:rsidRPr="00EB40FD">
        <w:rPr>
          <w:rFonts w:cstheme="minorHAnsi"/>
          <w:color w:val="000000" w:themeColor="text1"/>
          <w:lang w:val="en-US"/>
        </w:rPr>
        <w:t>.</w:t>
      </w:r>
      <w:r w:rsidR="00783646" w:rsidRPr="00EB40FD">
        <w:rPr>
          <w:rFonts w:cstheme="minorHAnsi"/>
          <w:color w:val="000000" w:themeColor="text1"/>
          <w:lang w:val="en-US"/>
        </w:rPr>
        <w:t xml:space="preserve"> </w:t>
      </w:r>
    </w:p>
    <w:p w14:paraId="36D4737C" w14:textId="77777777" w:rsidR="000E3237" w:rsidRDefault="000E3237" w:rsidP="0078718D">
      <w:pPr>
        <w:pStyle w:val="Heading2"/>
        <w:rPr>
          <w:lang w:val="en-US"/>
        </w:rPr>
      </w:pPr>
    </w:p>
    <w:p w14:paraId="2DE010D1" w14:textId="0A163CD1" w:rsidR="00AE1BAF" w:rsidRDefault="00444BE8" w:rsidP="0078718D">
      <w:pPr>
        <w:pStyle w:val="Heading2"/>
        <w:rPr>
          <w:lang w:val="en-US"/>
        </w:rPr>
      </w:pPr>
      <w:r>
        <w:rPr>
          <w:lang w:val="en-US"/>
        </w:rPr>
        <w:t>FINAL</w:t>
      </w:r>
      <w:r w:rsidR="002E0355">
        <w:rPr>
          <w:lang w:val="en-US"/>
        </w:rPr>
        <w:t xml:space="preserve"> STAFF</w:t>
      </w:r>
      <w:r>
        <w:rPr>
          <w:lang w:val="en-US"/>
        </w:rPr>
        <w:t xml:space="preserve"> </w:t>
      </w:r>
      <w:r w:rsidR="00AE1BAF">
        <w:rPr>
          <w:lang w:val="en-US"/>
        </w:rPr>
        <w:t>RECOMMENDATION</w:t>
      </w:r>
      <w:r w:rsidR="00FA5E17">
        <w:rPr>
          <w:lang w:val="en-US"/>
        </w:rPr>
        <w:t>S</w:t>
      </w:r>
      <w:r w:rsidR="00AE1BAF">
        <w:rPr>
          <w:lang w:val="en-US"/>
        </w:rPr>
        <w:t>:</w:t>
      </w:r>
    </w:p>
    <w:p w14:paraId="2858E54E" w14:textId="77777777" w:rsidR="001B7B8F" w:rsidRDefault="001B7B8F" w:rsidP="001008C3">
      <w:pPr>
        <w:rPr>
          <w:rFonts w:cstheme="minorHAnsi"/>
          <w:b/>
          <w:bCs/>
          <w:lang w:val="en-US"/>
        </w:rPr>
      </w:pPr>
    </w:p>
    <w:p w14:paraId="6F8EA0FE" w14:textId="7E51EF5E" w:rsidR="001008C3" w:rsidRPr="00CD089F" w:rsidRDefault="00D406BC" w:rsidP="001008C3">
      <w:pPr>
        <w:rPr>
          <w:rFonts w:cstheme="minorHAnsi"/>
          <w:b/>
          <w:bCs/>
          <w:lang w:val="en-US"/>
        </w:rPr>
      </w:pPr>
      <w:r w:rsidRPr="00CD089F">
        <w:rPr>
          <w:rFonts w:cstheme="minorHAnsi"/>
          <w:b/>
          <w:bCs/>
          <w:lang w:val="en-US"/>
        </w:rPr>
        <w:t>That the Commission direct Staff</w:t>
      </w:r>
      <w:r w:rsidR="001008C3" w:rsidRPr="00CD089F">
        <w:rPr>
          <w:rFonts w:cstheme="minorHAnsi"/>
          <w:b/>
          <w:bCs/>
          <w:lang w:val="en-US"/>
        </w:rPr>
        <w:t>:</w:t>
      </w:r>
    </w:p>
    <w:p w14:paraId="7443BB3B" w14:textId="6D4DC30C" w:rsidR="00EC0746" w:rsidRPr="002E0355" w:rsidRDefault="001008C3" w:rsidP="000351F2">
      <w:pPr>
        <w:pStyle w:val="ListParagraph"/>
        <w:numPr>
          <w:ilvl w:val="0"/>
          <w:numId w:val="39"/>
        </w:numPr>
        <w:ind w:left="567" w:hanging="567"/>
        <w:rPr>
          <w:rFonts w:cstheme="minorHAnsi"/>
          <w:lang w:val="en-US"/>
        </w:rPr>
      </w:pPr>
      <w:r w:rsidRPr="002E0355">
        <w:rPr>
          <w:rFonts w:cstheme="minorHAnsi"/>
          <w:lang w:val="en-US"/>
        </w:rPr>
        <w:t>T</w:t>
      </w:r>
      <w:r w:rsidR="00D406BC" w:rsidRPr="002E0355">
        <w:rPr>
          <w:rFonts w:cstheme="minorHAnsi"/>
          <w:lang w:val="en-US"/>
        </w:rPr>
        <w:t>o proceed with initiating a</w:t>
      </w:r>
      <w:r w:rsidR="002E0355">
        <w:rPr>
          <w:rFonts w:cstheme="minorHAnsi"/>
          <w:lang w:val="en-US"/>
        </w:rPr>
        <w:t xml:space="preserve"> Plan a</w:t>
      </w:r>
      <w:r w:rsidR="00D406BC" w:rsidRPr="002E0355">
        <w:rPr>
          <w:rFonts w:cstheme="minorHAnsi"/>
          <w:lang w:val="en-US"/>
        </w:rPr>
        <w:t xml:space="preserve">mendment </w:t>
      </w:r>
      <w:r w:rsidR="00EC0746" w:rsidRPr="002E0355">
        <w:rPr>
          <w:rFonts w:cstheme="minorHAnsi"/>
          <w:lang w:val="en-US"/>
        </w:rPr>
        <w:t>on the following:</w:t>
      </w:r>
    </w:p>
    <w:p w14:paraId="05188D1F" w14:textId="77777777" w:rsidR="00466173" w:rsidRPr="002E0355" w:rsidRDefault="00CC17B3" w:rsidP="00CB3BF1">
      <w:pPr>
        <w:pStyle w:val="ListParagraph"/>
        <w:numPr>
          <w:ilvl w:val="0"/>
          <w:numId w:val="40"/>
        </w:numPr>
        <w:rPr>
          <w:rFonts w:cstheme="minorHAnsi"/>
          <w:i/>
          <w:iCs/>
          <w:lang w:val="en-US"/>
        </w:rPr>
      </w:pPr>
      <w:r w:rsidRPr="00CB3BF1">
        <w:rPr>
          <w:rFonts w:cstheme="minorHAnsi"/>
          <w:lang w:val="en-US"/>
        </w:rPr>
        <w:t xml:space="preserve">Part 1.4.3.2 Escarpment Protection Area OFDUs and ARUS </w:t>
      </w:r>
      <w:r w:rsidRPr="002E0355">
        <w:rPr>
          <w:rFonts w:cstheme="minorHAnsi"/>
          <w:i/>
          <w:iCs/>
          <w:lang w:val="en-US"/>
        </w:rPr>
        <w:t>in prime agricultural areas.</w:t>
      </w:r>
    </w:p>
    <w:p w14:paraId="7ACB64E2" w14:textId="3B8611CB" w:rsidR="00CC17B3" w:rsidRDefault="00EC0746" w:rsidP="00CB3BF1">
      <w:pPr>
        <w:pStyle w:val="ListParagraph"/>
        <w:numPr>
          <w:ilvl w:val="0"/>
          <w:numId w:val="40"/>
        </w:numPr>
        <w:rPr>
          <w:rFonts w:cstheme="minorHAnsi"/>
          <w:lang w:val="en-US"/>
        </w:rPr>
      </w:pPr>
      <w:r w:rsidRPr="00CB3BF1">
        <w:rPr>
          <w:rFonts w:cstheme="minorHAnsi"/>
          <w:lang w:val="en-US"/>
        </w:rPr>
        <w:t>Agricultural Uses within</w:t>
      </w:r>
      <w:r w:rsidR="00CC17B3" w:rsidRPr="00CB3BF1">
        <w:rPr>
          <w:rFonts w:cstheme="minorHAnsi"/>
          <w:lang w:val="en-US"/>
        </w:rPr>
        <w:t xml:space="preserve"> Earth Science Areas of Natural and Scientific Interest</w:t>
      </w:r>
      <w:r w:rsidRPr="00CB3BF1">
        <w:rPr>
          <w:rFonts w:cstheme="minorHAnsi"/>
          <w:lang w:val="en-US"/>
        </w:rPr>
        <w:t>.</w:t>
      </w:r>
    </w:p>
    <w:p w14:paraId="21657775" w14:textId="77777777" w:rsidR="00CB3BF1" w:rsidRPr="00CB3BF1" w:rsidRDefault="00CB3BF1" w:rsidP="00CB3BF1">
      <w:pPr>
        <w:pStyle w:val="ListParagraph"/>
        <w:ind w:left="1080"/>
        <w:rPr>
          <w:rFonts w:cstheme="minorHAnsi"/>
          <w:lang w:val="en-US"/>
        </w:rPr>
      </w:pPr>
    </w:p>
    <w:p w14:paraId="4B96A91B" w14:textId="22EBCCA7" w:rsidR="00A66D82" w:rsidRPr="002E0355" w:rsidRDefault="001008C3" w:rsidP="000351F2">
      <w:pPr>
        <w:pStyle w:val="ListParagraph"/>
        <w:numPr>
          <w:ilvl w:val="0"/>
          <w:numId w:val="39"/>
        </w:numPr>
        <w:ind w:left="567" w:hanging="567"/>
        <w:rPr>
          <w:rFonts w:cstheme="minorHAnsi"/>
          <w:lang w:val="en-US"/>
        </w:rPr>
      </w:pPr>
      <w:r w:rsidRPr="002E0355">
        <w:rPr>
          <w:rFonts w:cstheme="minorHAnsi"/>
          <w:lang w:val="en-US"/>
        </w:rPr>
        <w:t>T</w:t>
      </w:r>
      <w:r w:rsidR="0020628A" w:rsidRPr="002E0355">
        <w:rPr>
          <w:rFonts w:cstheme="minorHAnsi"/>
          <w:lang w:val="en-US"/>
        </w:rPr>
        <w:t xml:space="preserve">o undertake further analysis </w:t>
      </w:r>
      <w:r w:rsidR="000F1F95" w:rsidRPr="002E0355">
        <w:rPr>
          <w:rFonts w:cstheme="minorHAnsi"/>
          <w:lang w:val="en-US"/>
        </w:rPr>
        <w:t xml:space="preserve">of the following agricultural topic areas, </w:t>
      </w:r>
      <w:r w:rsidR="00EC0746" w:rsidRPr="002E0355">
        <w:rPr>
          <w:rFonts w:cstheme="minorHAnsi"/>
          <w:lang w:val="en-US"/>
        </w:rPr>
        <w:t>for potential consideration</w:t>
      </w:r>
      <w:r w:rsidR="00466173" w:rsidRPr="002E0355">
        <w:rPr>
          <w:rFonts w:cstheme="minorHAnsi"/>
          <w:lang w:val="en-US"/>
        </w:rPr>
        <w:t xml:space="preserve"> in the proposed </w:t>
      </w:r>
      <w:r w:rsidR="000F1F95" w:rsidRPr="002E0355">
        <w:rPr>
          <w:rFonts w:cstheme="minorHAnsi"/>
          <w:lang w:val="en-US"/>
        </w:rPr>
        <w:t xml:space="preserve">Plan </w:t>
      </w:r>
      <w:r w:rsidR="00466173" w:rsidRPr="002E0355">
        <w:rPr>
          <w:rFonts w:cstheme="minorHAnsi"/>
          <w:lang w:val="en-US"/>
        </w:rPr>
        <w:t>a</w:t>
      </w:r>
      <w:r w:rsidR="000F1F95" w:rsidRPr="002E0355">
        <w:rPr>
          <w:rFonts w:cstheme="minorHAnsi"/>
          <w:lang w:val="en-US"/>
        </w:rPr>
        <w:t>mendment:</w:t>
      </w:r>
    </w:p>
    <w:p w14:paraId="1FD87189" w14:textId="5961EB95" w:rsidR="00D86B58" w:rsidRDefault="00D86B58" w:rsidP="00CB3BF1">
      <w:pPr>
        <w:pStyle w:val="ListParagraph"/>
        <w:numPr>
          <w:ilvl w:val="0"/>
          <w:numId w:val="41"/>
        </w:numPr>
        <w:rPr>
          <w:rFonts w:cstheme="minorHAnsi"/>
          <w:lang w:val="en-US"/>
        </w:rPr>
      </w:pPr>
      <w:r w:rsidRPr="00CB3BF1">
        <w:rPr>
          <w:rFonts w:cstheme="minorHAnsi"/>
          <w:lang w:val="en-US"/>
        </w:rPr>
        <w:t>Part 2.8</w:t>
      </w:r>
      <w:r w:rsidR="00A32452" w:rsidRPr="00CB3BF1">
        <w:rPr>
          <w:rFonts w:cstheme="minorHAnsi"/>
          <w:lang w:val="en-US"/>
        </w:rPr>
        <w:t xml:space="preserve"> Winery Policies</w:t>
      </w:r>
    </w:p>
    <w:p w14:paraId="0CC46B5A" w14:textId="1D041B7A" w:rsidR="00466173" w:rsidRDefault="00466173" w:rsidP="00D60BC7">
      <w:pPr>
        <w:pStyle w:val="ListParagraph"/>
        <w:numPr>
          <w:ilvl w:val="0"/>
          <w:numId w:val="41"/>
        </w:numPr>
        <w:rPr>
          <w:rFonts w:cstheme="minorHAnsi"/>
          <w:lang w:val="en-US"/>
        </w:rPr>
      </w:pPr>
      <w:r w:rsidRPr="00D60BC7">
        <w:rPr>
          <w:rFonts w:cstheme="minorHAnsi"/>
          <w:lang w:val="en-US"/>
        </w:rPr>
        <w:t xml:space="preserve">Agricultural Uses in </w:t>
      </w:r>
      <w:r w:rsidR="001F53F0">
        <w:rPr>
          <w:rFonts w:cstheme="minorHAnsi"/>
          <w:lang w:val="en-US"/>
        </w:rPr>
        <w:t xml:space="preserve">(other) </w:t>
      </w:r>
      <w:r w:rsidRPr="00D60BC7">
        <w:rPr>
          <w:rFonts w:cstheme="minorHAnsi"/>
          <w:lang w:val="en-US"/>
        </w:rPr>
        <w:t>Key Natural Heritage Features</w:t>
      </w:r>
    </w:p>
    <w:p w14:paraId="419EE70B" w14:textId="4DCAE34D" w:rsidR="00AD4F99" w:rsidRPr="00EB40FD" w:rsidRDefault="00BE029D" w:rsidP="00D60BC7">
      <w:pPr>
        <w:pStyle w:val="ListParagraph"/>
        <w:numPr>
          <w:ilvl w:val="0"/>
          <w:numId w:val="41"/>
        </w:numPr>
        <w:rPr>
          <w:rFonts w:cstheme="minorHAnsi"/>
          <w:color w:val="000000" w:themeColor="text1"/>
          <w:lang w:val="en-US"/>
        </w:rPr>
      </w:pPr>
      <w:r w:rsidRPr="00EB40FD">
        <w:rPr>
          <w:rFonts w:cstheme="minorHAnsi"/>
          <w:color w:val="000000" w:themeColor="text1"/>
          <w:lang w:val="en-US"/>
        </w:rPr>
        <w:t xml:space="preserve">Supporting the </w:t>
      </w:r>
      <w:r w:rsidR="00AD4F99" w:rsidRPr="00EB40FD">
        <w:rPr>
          <w:rFonts w:cstheme="minorHAnsi"/>
          <w:color w:val="000000" w:themeColor="text1"/>
          <w:lang w:val="en-US"/>
        </w:rPr>
        <w:t>Agricultural System in the NEP Area</w:t>
      </w:r>
    </w:p>
    <w:p w14:paraId="3D0DF843" w14:textId="5CF639DE" w:rsidR="00466173" w:rsidRDefault="00466173" w:rsidP="000B7158">
      <w:pPr>
        <w:pStyle w:val="ListParagraph"/>
        <w:ind w:left="360"/>
        <w:rPr>
          <w:rFonts w:cstheme="minorHAnsi"/>
          <w:lang w:val="en-US"/>
        </w:rPr>
      </w:pPr>
    </w:p>
    <w:p w14:paraId="7E955592" w14:textId="4AB43D92" w:rsidR="00A63955" w:rsidRPr="002E0355" w:rsidRDefault="001008C3" w:rsidP="001F53F0">
      <w:pPr>
        <w:pStyle w:val="ListParagraph"/>
        <w:numPr>
          <w:ilvl w:val="0"/>
          <w:numId w:val="39"/>
        </w:numPr>
        <w:ind w:left="567" w:hanging="567"/>
        <w:rPr>
          <w:rFonts w:cstheme="minorHAnsi"/>
          <w:lang w:val="en-US"/>
        </w:rPr>
      </w:pPr>
      <w:r w:rsidRPr="002E0355">
        <w:rPr>
          <w:rFonts w:cstheme="minorHAnsi"/>
          <w:lang w:val="en-US"/>
        </w:rPr>
        <w:t xml:space="preserve">To </w:t>
      </w:r>
      <w:r w:rsidR="006639FB" w:rsidRPr="002E0355">
        <w:rPr>
          <w:rFonts w:cstheme="minorHAnsi"/>
          <w:lang w:val="en-US"/>
        </w:rPr>
        <w:t xml:space="preserve">continue with the development of </w:t>
      </w:r>
      <w:r w:rsidRPr="002E0355">
        <w:rPr>
          <w:rFonts w:cstheme="minorHAnsi"/>
          <w:lang w:val="en-US"/>
        </w:rPr>
        <w:t>p</w:t>
      </w:r>
      <w:r w:rsidR="006639FB" w:rsidRPr="002E0355">
        <w:rPr>
          <w:rFonts w:cstheme="minorHAnsi"/>
          <w:lang w:val="en-US"/>
        </w:rPr>
        <w:t xml:space="preserve">olicy </w:t>
      </w:r>
      <w:r w:rsidRPr="002E0355">
        <w:rPr>
          <w:rFonts w:cstheme="minorHAnsi"/>
          <w:lang w:val="en-US"/>
        </w:rPr>
        <w:t>gu</w:t>
      </w:r>
      <w:r w:rsidR="006639FB" w:rsidRPr="002E0355">
        <w:rPr>
          <w:rFonts w:cstheme="minorHAnsi"/>
          <w:lang w:val="en-US"/>
        </w:rPr>
        <w:t>idance material for the topic of Dwelling Units Accessory to Agricultural Uses</w:t>
      </w:r>
      <w:r w:rsidR="00D2469C" w:rsidRPr="002E0355">
        <w:rPr>
          <w:rFonts w:cstheme="minorHAnsi"/>
          <w:lang w:val="en-US"/>
        </w:rPr>
        <w:t xml:space="preserve">, and to defer </w:t>
      </w:r>
      <w:r w:rsidR="00ED662C">
        <w:rPr>
          <w:rFonts w:cstheme="minorHAnsi"/>
          <w:lang w:val="en-US"/>
        </w:rPr>
        <w:t xml:space="preserve">policy </w:t>
      </w:r>
      <w:r w:rsidR="00D2469C" w:rsidRPr="002E0355">
        <w:rPr>
          <w:rFonts w:cstheme="minorHAnsi"/>
          <w:lang w:val="en-US"/>
        </w:rPr>
        <w:t>guideline</w:t>
      </w:r>
      <w:r w:rsidR="00ED662C">
        <w:rPr>
          <w:rFonts w:cstheme="minorHAnsi"/>
          <w:lang w:val="en-US"/>
        </w:rPr>
        <w:t xml:space="preserve"> development</w:t>
      </w:r>
      <w:r w:rsidR="00D2469C" w:rsidRPr="002E0355">
        <w:rPr>
          <w:rFonts w:cstheme="minorHAnsi"/>
          <w:lang w:val="en-US"/>
        </w:rPr>
        <w:t xml:space="preserve"> for On-farm Diversified Uses</w:t>
      </w:r>
      <w:r w:rsidR="00ED662C">
        <w:rPr>
          <w:rFonts w:cstheme="minorHAnsi"/>
          <w:lang w:val="en-US"/>
        </w:rPr>
        <w:t>,</w:t>
      </w:r>
      <w:r w:rsidR="00D2469C" w:rsidRPr="002E0355">
        <w:rPr>
          <w:rFonts w:cstheme="minorHAnsi"/>
          <w:lang w:val="en-US"/>
        </w:rPr>
        <w:t xml:space="preserve"> until the full scope of a Plan amendment </w:t>
      </w:r>
      <w:r w:rsidR="00ED662C">
        <w:rPr>
          <w:rFonts w:cstheme="minorHAnsi"/>
          <w:lang w:val="en-US"/>
        </w:rPr>
        <w:t xml:space="preserve">on the above-noted topics </w:t>
      </w:r>
      <w:r w:rsidR="00D2469C" w:rsidRPr="002E0355">
        <w:rPr>
          <w:rFonts w:cstheme="minorHAnsi"/>
          <w:lang w:val="en-US"/>
        </w:rPr>
        <w:t xml:space="preserve">has been recommended. </w:t>
      </w:r>
    </w:p>
    <w:p w14:paraId="13349B21" w14:textId="77777777" w:rsidR="00C87E4B" w:rsidRPr="00C87E4B" w:rsidRDefault="00C87E4B" w:rsidP="00C87E4B">
      <w:pPr>
        <w:pStyle w:val="ListParagraph"/>
        <w:rPr>
          <w:rFonts w:cstheme="minorHAnsi"/>
          <w:b/>
          <w:bCs/>
          <w:lang w:val="en-US"/>
        </w:rPr>
      </w:pPr>
    </w:p>
    <w:p w14:paraId="497710EF" w14:textId="24F780DA" w:rsidR="000F1F95" w:rsidRPr="000B7158" w:rsidRDefault="00D4257A" w:rsidP="00ED662C">
      <w:pPr>
        <w:pStyle w:val="ListParagraph"/>
        <w:numPr>
          <w:ilvl w:val="0"/>
          <w:numId w:val="39"/>
        </w:numPr>
        <w:ind w:left="567" w:hanging="567"/>
        <w:rPr>
          <w:rFonts w:cstheme="minorHAnsi"/>
          <w:lang w:val="en-US"/>
        </w:rPr>
      </w:pPr>
      <w:r w:rsidRPr="000B7158">
        <w:rPr>
          <w:rFonts w:cstheme="minorHAnsi"/>
          <w:lang w:val="en-US"/>
        </w:rPr>
        <w:t xml:space="preserve">That the Chair write to the Minister of Northern Development Mines, Natural Resources and Forestry to provide an update on the Commission’s discussions </w:t>
      </w:r>
      <w:r w:rsidR="00143FCB" w:rsidRPr="000B7158">
        <w:rPr>
          <w:rFonts w:cstheme="minorHAnsi"/>
          <w:lang w:val="en-US"/>
        </w:rPr>
        <w:t xml:space="preserve">on </w:t>
      </w:r>
      <w:r w:rsidR="00D2469C">
        <w:rPr>
          <w:rFonts w:cstheme="minorHAnsi"/>
          <w:lang w:val="en-US"/>
        </w:rPr>
        <w:t>these matters</w:t>
      </w:r>
      <w:r w:rsidR="00143FCB" w:rsidRPr="000B7158">
        <w:rPr>
          <w:rFonts w:cstheme="minorHAnsi"/>
          <w:lang w:val="en-US"/>
        </w:rPr>
        <w:t xml:space="preserve"> </w:t>
      </w:r>
      <w:r w:rsidRPr="000B7158">
        <w:rPr>
          <w:rFonts w:cstheme="minorHAnsi"/>
          <w:lang w:val="en-US"/>
        </w:rPr>
        <w:t xml:space="preserve">and to inform of the Commission’s </w:t>
      </w:r>
      <w:r w:rsidR="000E3237">
        <w:rPr>
          <w:rFonts w:cstheme="minorHAnsi"/>
          <w:lang w:val="en-US"/>
        </w:rPr>
        <w:t xml:space="preserve">perspective in scoping an </w:t>
      </w:r>
      <w:r w:rsidRPr="000B7158">
        <w:rPr>
          <w:rFonts w:cstheme="minorHAnsi"/>
          <w:lang w:val="en-US"/>
        </w:rPr>
        <w:t xml:space="preserve">NEP </w:t>
      </w:r>
      <w:r w:rsidR="000E3237">
        <w:rPr>
          <w:rFonts w:cstheme="minorHAnsi"/>
          <w:lang w:val="en-US"/>
        </w:rPr>
        <w:t>a</w:t>
      </w:r>
      <w:r w:rsidRPr="000B7158">
        <w:rPr>
          <w:rFonts w:cstheme="minorHAnsi"/>
          <w:lang w:val="en-US"/>
        </w:rPr>
        <w:t xml:space="preserve">mendment </w:t>
      </w:r>
      <w:r w:rsidR="00A63955" w:rsidRPr="000B7158">
        <w:rPr>
          <w:rFonts w:cstheme="minorHAnsi"/>
          <w:lang w:val="en-US"/>
        </w:rPr>
        <w:t>respecting agricultural policies.</w:t>
      </w:r>
    </w:p>
    <w:tbl>
      <w:tblPr>
        <w:tblStyle w:val="TableGrid"/>
        <w:tblW w:w="9350" w:type="dxa"/>
        <w:tblLook w:val="04A0" w:firstRow="1" w:lastRow="0" w:firstColumn="1" w:lastColumn="0" w:noHBand="0" w:noVBand="1"/>
      </w:tblPr>
      <w:tblGrid>
        <w:gridCol w:w="4675"/>
        <w:gridCol w:w="4675"/>
      </w:tblGrid>
      <w:tr w:rsidR="003D2855" w14:paraId="7817B702" w14:textId="77777777" w:rsidTr="003D2855">
        <w:tc>
          <w:tcPr>
            <w:tcW w:w="4675" w:type="dxa"/>
            <w:tcBorders>
              <w:top w:val="nil"/>
              <w:left w:val="nil"/>
              <w:bottom w:val="nil"/>
              <w:right w:val="nil"/>
            </w:tcBorders>
          </w:tcPr>
          <w:tbl>
            <w:tblPr>
              <w:tblStyle w:val="TableGrid"/>
              <w:tblW w:w="0" w:type="auto"/>
              <w:tblLook w:val="04A0" w:firstRow="1" w:lastRow="0" w:firstColumn="1" w:lastColumn="0" w:noHBand="0" w:noVBand="1"/>
            </w:tblPr>
            <w:tblGrid>
              <w:gridCol w:w="4459"/>
            </w:tblGrid>
            <w:tr w:rsidR="003D2855" w:rsidRPr="001B7B8F" w14:paraId="3EC4F69E" w14:textId="77777777" w:rsidTr="0068410A">
              <w:tc>
                <w:tcPr>
                  <w:tcW w:w="4675" w:type="dxa"/>
                  <w:tcBorders>
                    <w:top w:val="nil"/>
                    <w:left w:val="nil"/>
                    <w:bottom w:val="nil"/>
                    <w:right w:val="nil"/>
                  </w:tcBorders>
                </w:tcPr>
                <w:p w14:paraId="6884AF0C" w14:textId="77777777" w:rsidR="003D2855" w:rsidRDefault="003D2855" w:rsidP="003D2855">
                  <w:pPr>
                    <w:pStyle w:val="Heading2"/>
                    <w:outlineLvl w:val="1"/>
                    <w:rPr>
                      <w:lang w:val="en-US"/>
                    </w:rPr>
                  </w:pPr>
                  <w:r>
                    <w:rPr>
                      <w:lang w:val="en-US"/>
                    </w:rPr>
                    <w:t>Prepared by:</w:t>
                  </w:r>
                </w:p>
                <w:p w14:paraId="453C4BC8" w14:textId="77777777" w:rsidR="003D2855" w:rsidRDefault="003D2855" w:rsidP="003D2855">
                  <w:pPr>
                    <w:rPr>
                      <w:rFonts w:cstheme="minorHAnsi"/>
                      <w:b/>
                      <w:bCs/>
                      <w:lang w:val="en-US"/>
                    </w:rPr>
                  </w:pPr>
                </w:p>
                <w:p w14:paraId="289BB1CE" w14:textId="5A54A9B5" w:rsidR="003D2855" w:rsidRPr="00F3324A" w:rsidRDefault="00F3324A" w:rsidP="003D2855">
                  <w:pPr>
                    <w:rPr>
                      <w:rFonts w:cstheme="minorHAnsi"/>
                      <w:lang w:val="en-US"/>
                    </w:rPr>
                  </w:pPr>
                  <w:r w:rsidRPr="00F3324A">
                    <w:rPr>
                      <w:rFonts w:cstheme="minorHAnsi"/>
                      <w:noProof/>
                      <w:lang w:val="en-US"/>
                    </w:rPr>
                    <w:t>ORIGINAL SIGNED BY:</w:t>
                  </w:r>
                </w:p>
                <w:p w14:paraId="7800E3E1" w14:textId="77777777" w:rsidR="003D2855" w:rsidRDefault="003D2855" w:rsidP="003D2855">
                  <w:pPr>
                    <w:rPr>
                      <w:rFonts w:cstheme="minorHAnsi"/>
                      <w:b/>
                      <w:bCs/>
                      <w:lang w:val="en-US"/>
                    </w:rPr>
                  </w:pPr>
                  <w:r>
                    <w:rPr>
                      <w:rFonts w:cstheme="minorHAnsi"/>
                      <w:b/>
                      <w:bCs/>
                      <w:lang w:val="en-US"/>
                    </w:rPr>
                    <w:t>______________________</w:t>
                  </w:r>
                </w:p>
                <w:p w14:paraId="553329D8" w14:textId="77777777" w:rsidR="003D2855" w:rsidRDefault="003D2855" w:rsidP="003D2855">
                  <w:pPr>
                    <w:rPr>
                      <w:rFonts w:cstheme="minorHAnsi"/>
                      <w:lang w:val="en-US"/>
                    </w:rPr>
                  </w:pPr>
                  <w:r>
                    <w:rPr>
                      <w:rFonts w:cstheme="minorHAnsi"/>
                      <w:lang w:val="en-US"/>
                    </w:rPr>
                    <w:t>Lisa Grbinicek, RPP, MCIP</w:t>
                  </w:r>
                </w:p>
                <w:p w14:paraId="68B69026" w14:textId="6121B29A" w:rsidR="003D2855" w:rsidRPr="001B7B8F" w:rsidRDefault="003D2855" w:rsidP="003D2855">
                  <w:pPr>
                    <w:pStyle w:val="Heading2"/>
                    <w:outlineLvl w:val="1"/>
                    <w:rPr>
                      <w:lang w:val="en-US"/>
                    </w:rPr>
                  </w:pPr>
                  <w:r w:rsidRPr="000D5ED5">
                    <w:rPr>
                      <w:rFonts w:cstheme="minorHAnsi"/>
                      <w:b w:val="0"/>
                      <w:bCs/>
                      <w:lang w:val="en-US"/>
                    </w:rPr>
                    <w:t>Senior Strategic Advisor</w:t>
                  </w:r>
                </w:p>
              </w:tc>
            </w:tr>
          </w:tbl>
          <w:p w14:paraId="4B16845C" w14:textId="0205902E" w:rsidR="003D2855" w:rsidRPr="001B7B8F" w:rsidRDefault="003D2855" w:rsidP="003D2855">
            <w:pPr>
              <w:rPr>
                <w:lang w:val="en-US"/>
              </w:rPr>
            </w:pPr>
          </w:p>
        </w:tc>
        <w:tc>
          <w:tcPr>
            <w:tcW w:w="4675" w:type="dxa"/>
            <w:tcBorders>
              <w:top w:val="nil"/>
              <w:left w:val="nil"/>
              <w:bottom w:val="nil"/>
              <w:right w:val="nil"/>
            </w:tcBorders>
          </w:tcPr>
          <w:p w14:paraId="0D41A188" w14:textId="77777777" w:rsidR="003D2855" w:rsidRDefault="003D2855" w:rsidP="003D2855">
            <w:pPr>
              <w:pStyle w:val="Heading2"/>
              <w:outlineLvl w:val="1"/>
              <w:rPr>
                <w:lang w:val="en-US"/>
              </w:rPr>
            </w:pPr>
            <w:r>
              <w:rPr>
                <w:lang w:val="en-US"/>
              </w:rPr>
              <w:t>Approved by:</w:t>
            </w:r>
          </w:p>
          <w:p w14:paraId="29DE8898" w14:textId="77777777" w:rsidR="003D2855" w:rsidRDefault="003D2855" w:rsidP="003D2855">
            <w:pPr>
              <w:rPr>
                <w:rFonts w:cstheme="minorHAnsi"/>
                <w:b/>
                <w:bCs/>
                <w:lang w:val="en-US"/>
              </w:rPr>
            </w:pPr>
          </w:p>
          <w:p w14:paraId="5ECBA6E0" w14:textId="0A1FED7B" w:rsidR="003D2855" w:rsidRDefault="00F3324A" w:rsidP="003D2855">
            <w:pPr>
              <w:rPr>
                <w:rFonts w:cstheme="minorHAnsi"/>
                <w:b/>
                <w:bCs/>
                <w:lang w:val="en-US"/>
              </w:rPr>
            </w:pPr>
            <w:r>
              <w:rPr>
                <w:noProof/>
              </w:rPr>
              <w:t>ORIGINAL SIGNED BY:</w:t>
            </w:r>
          </w:p>
          <w:p w14:paraId="45CDCBDF" w14:textId="77777777" w:rsidR="003D2855" w:rsidRDefault="003D2855" w:rsidP="003D2855">
            <w:pPr>
              <w:rPr>
                <w:rFonts w:cstheme="minorHAnsi"/>
                <w:b/>
                <w:bCs/>
                <w:lang w:val="en-US"/>
              </w:rPr>
            </w:pPr>
            <w:r>
              <w:rPr>
                <w:rFonts w:cstheme="minorHAnsi"/>
                <w:b/>
                <w:bCs/>
                <w:lang w:val="en-US"/>
              </w:rPr>
              <w:t>______________________</w:t>
            </w:r>
          </w:p>
          <w:p w14:paraId="03130474" w14:textId="77777777" w:rsidR="003D2855" w:rsidRDefault="003D2855" w:rsidP="003D2855">
            <w:pPr>
              <w:rPr>
                <w:rFonts w:cstheme="minorHAnsi"/>
                <w:lang w:val="en-US"/>
              </w:rPr>
            </w:pPr>
            <w:r>
              <w:rPr>
                <w:rFonts w:cstheme="minorHAnsi"/>
                <w:lang w:val="en-US"/>
              </w:rPr>
              <w:t>Debbie Ramsay, RPP, MCIP</w:t>
            </w:r>
          </w:p>
          <w:p w14:paraId="1B6CCCAE" w14:textId="0B9E92D6" w:rsidR="003D2855" w:rsidRPr="00A467BB" w:rsidRDefault="003D2855" w:rsidP="003D2855">
            <w:pPr>
              <w:rPr>
                <w:lang w:val="en-US"/>
              </w:rPr>
            </w:pPr>
            <w:r>
              <w:rPr>
                <w:rFonts w:cstheme="minorHAnsi"/>
                <w:lang w:val="en-US"/>
              </w:rPr>
              <w:t xml:space="preserve">Director </w:t>
            </w:r>
          </w:p>
        </w:tc>
      </w:tr>
    </w:tbl>
    <w:p w14:paraId="7FFB4972" w14:textId="77777777" w:rsidR="006D310E" w:rsidRDefault="006D310E" w:rsidP="0078718D">
      <w:pPr>
        <w:pStyle w:val="Heading2"/>
        <w:jc w:val="center"/>
        <w:rPr>
          <w:lang w:val="en-US"/>
        </w:rPr>
      </w:pPr>
      <w:bookmarkStart w:id="2" w:name="_Hlk70081498"/>
    </w:p>
    <w:p w14:paraId="663E9BAD" w14:textId="77777777" w:rsidR="006D310E" w:rsidRDefault="006D310E">
      <w:pPr>
        <w:rPr>
          <w:rFonts w:ascii="Arial" w:eastAsia="Times New Roman" w:hAnsi="Arial" w:cs="Arial"/>
          <w:b/>
          <w:szCs w:val="24"/>
          <w:lang w:val="en-US"/>
        </w:rPr>
      </w:pPr>
      <w:r>
        <w:rPr>
          <w:lang w:val="en-US"/>
        </w:rPr>
        <w:br w:type="page"/>
      </w:r>
    </w:p>
    <w:p w14:paraId="30444C97" w14:textId="663DA70D" w:rsidR="00AE1BAF" w:rsidRDefault="00CB1168" w:rsidP="0078718D">
      <w:pPr>
        <w:pStyle w:val="Heading2"/>
        <w:jc w:val="center"/>
        <w:rPr>
          <w:lang w:val="en-US"/>
        </w:rPr>
      </w:pPr>
      <w:r>
        <w:rPr>
          <w:lang w:val="en-US"/>
        </w:rPr>
        <w:lastRenderedPageBreak/>
        <w:t>A</w:t>
      </w:r>
      <w:r w:rsidR="00337798">
        <w:rPr>
          <w:lang w:val="en-US"/>
        </w:rPr>
        <w:t>PPENDIX</w:t>
      </w:r>
      <w:r w:rsidR="008F30D3">
        <w:rPr>
          <w:lang w:val="en-US"/>
        </w:rPr>
        <w:t xml:space="preserve"> </w:t>
      </w:r>
      <w:r w:rsidR="00CB0B37">
        <w:rPr>
          <w:lang w:val="en-US"/>
        </w:rPr>
        <w:t>1</w:t>
      </w:r>
    </w:p>
    <w:p w14:paraId="6E3E4F22" w14:textId="062DC213" w:rsidR="008D4CB0" w:rsidRDefault="008D4CB0" w:rsidP="008D4CB0">
      <w:pPr>
        <w:pStyle w:val="Heading3"/>
      </w:pPr>
      <w:r>
        <w:t xml:space="preserve">Summary Chronology of Activities </w:t>
      </w:r>
      <w:r w:rsidR="00CA1853">
        <w:t xml:space="preserve">and Reports </w:t>
      </w:r>
      <w:r>
        <w:t>Related to</w:t>
      </w:r>
      <w:r w:rsidR="00CA1853">
        <w:t xml:space="preserve"> NEP </w:t>
      </w:r>
      <w:r>
        <w:t xml:space="preserve">Agricultural Policies </w:t>
      </w:r>
      <w:r w:rsidR="00CA1853">
        <w:t>2016 - present</w:t>
      </w:r>
    </w:p>
    <w:p w14:paraId="676EBD18" w14:textId="77777777" w:rsidR="008D4CB0" w:rsidRDefault="008D4CB0" w:rsidP="008D4CB0">
      <w:pPr>
        <w:pStyle w:val="ListParagraph"/>
        <w:numPr>
          <w:ilvl w:val="0"/>
          <w:numId w:val="11"/>
        </w:numPr>
        <w:rPr>
          <w:lang w:val="en-US"/>
        </w:rPr>
      </w:pPr>
      <w:r w:rsidRPr="00972ADC">
        <w:rPr>
          <w:u w:val="single"/>
          <w:lang w:val="en-US"/>
        </w:rPr>
        <w:t>2016</w:t>
      </w:r>
      <w:r>
        <w:rPr>
          <w:lang w:val="en-US"/>
        </w:rPr>
        <w:t>:  Ministry of Agriculture, Food and Rural Affairs releases “Guidelines on Permitted Uses in Ontario’s Prime Agricultural Areas”.  These guidelines are intended to support interpretation of the Provincial Policy Statement agricultural policies.  The guidelines clear in stating they are best practices and are not prescribed standards that must be met.  Policies of the NEP prevail.</w:t>
      </w:r>
    </w:p>
    <w:p w14:paraId="1E59284C" w14:textId="5174BC04" w:rsidR="008D4CB0" w:rsidRPr="009774C4" w:rsidRDefault="008D4CB0" w:rsidP="008D4CB0">
      <w:pPr>
        <w:pStyle w:val="ListParagraph"/>
        <w:numPr>
          <w:ilvl w:val="0"/>
          <w:numId w:val="11"/>
        </w:numPr>
        <w:rPr>
          <w:lang w:val="en-US"/>
        </w:rPr>
      </w:pPr>
      <w:r>
        <w:rPr>
          <w:u w:val="single"/>
          <w:lang w:val="en-US"/>
        </w:rPr>
        <w:t>June 2017</w:t>
      </w:r>
      <w:r w:rsidRPr="00B36912">
        <w:rPr>
          <w:lang w:val="en-US"/>
        </w:rPr>
        <w:t>:</w:t>
      </w:r>
      <w:r>
        <w:rPr>
          <w:lang w:val="en-US"/>
        </w:rPr>
        <w:t xml:space="preserve">  New NEP is released.  New </w:t>
      </w:r>
      <w:r w:rsidR="00392353">
        <w:rPr>
          <w:lang w:val="en-US"/>
        </w:rPr>
        <w:t xml:space="preserve">and updated </w:t>
      </w:r>
      <w:r>
        <w:rPr>
          <w:lang w:val="en-US"/>
        </w:rPr>
        <w:t>agricultural policies related to agriculture (e.g., On-Farm Diversified Uses, Agriculture-Related Uses).</w:t>
      </w:r>
    </w:p>
    <w:p w14:paraId="5D6BB8A2" w14:textId="77777777" w:rsidR="008D4CB0" w:rsidRDefault="008D4CB0" w:rsidP="008D4CB0">
      <w:pPr>
        <w:pStyle w:val="ListParagraph"/>
        <w:numPr>
          <w:ilvl w:val="0"/>
          <w:numId w:val="11"/>
        </w:numPr>
        <w:rPr>
          <w:lang w:val="en-US"/>
        </w:rPr>
      </w:pPr>
      <w:r w:rsidRPr="009654D5">
        <w:rPr>
          <w:u w:val="single"/>
          <w:lang w:val="en-US"/>
        </w:rPr>
        <w:t>November 2017</w:t>
      </w:r>
      <w:r>
        <w:rPr>
          <w:lang w:val="en-US"/>
        </w:rPr>
        <w:t xml:space="preserve">:  Commission passes a motion directing staff to investigate how the NEP can address agriculture-related uses, including rural density transfer, farm labour housing, secondary dwelling relating to the agricultural industry, farm succession planning, agricultural labour shortages, and other issues applicable to the NEC involvement with agricultural lands.  </w:t>
      </w:r>
    </w:p>
    <w:p w14:paraId="08971491" w14:textId="3C301DC7" w:rsidR="008D4CB0" w:rsidRPr="003938D9" w:rsidRDefault="008D4CB0" w:rsidP="008D4CB0">
      <w:pPr>
        <w:pStyle w:val="ListParagraph"/>
        <w:numPr>
          <w:ilvl w:val="0"/>
          <w:numId w:val="11"/>
        </w:numPr>
        <w:rPr>
          <w:lang w:val="en-US"/>
        </w:rPr>
      </w:pPr>
      <w:r>
        <w:rPr>
          <w:u w:val="single"/>
          <w:lang w:val="en-US"/>
        </w:rPr>
        <w:t>November 2017</w:t>
      </w:r>
      <w:r w:rsidRPr="00822EF6">
        <w:rPr>
          <w:lang w:val="en-US"/>
        </w:rPr>
        <w:t>:</w:t>
      </w:r>
      <w:r>
        <w:rPr>
          <w:lang w:val="en-US"/>
        </w:rPr>
        <w:t xml:space="preserve">   Chair writes Minister informing of the Commission’s concerns and </w:t>
      </w:r>
      <w:r w:rsidR="00392353">
        <w:rPr>
          <w:lang w:val="en-US"/>
        </w:rPr>
        <w:t xml:space="preserve">related </w:t>
      </w:r>
      <w:r>
        <w:rPr>
          <w:lang w:val="en-US"/>
        </w:rPr>
        <w:t>motions regarding the NEP’s agricultural policies.</w:t>
      </w:r>
    </w:p>
    <w:p w14:paraId="26FCBFDE" w14:textId="77777777" w:rsidR="008D4CB0" w:rsidRDefault="008D4CB0" w:rsidP="008D4CB0">
      <w:pPr>
        <w:pStyle w:val="ListParagraph"/>
        <w:numPr>
          <w:ilvl w:val="0"/>
          <w:numId w:val="11"/>
        </w:numPr>
        <w:rPr>
          <w:lang w:val="en-US"/>
        </w:rPr>
      </w:pPr>
      <w:r>
        <w:rPr>
          <w:u w:val="single"/>
          <w:lang w:val="en-US"/>
        </w:rPr>
        <w:t>February 2018</w:t>
      </w:r>
      <w:r w:rsidRPr="00190D9D">
        <w:rPr>
          <w:lang w:val="en-US"/>
        </w:rPr>
        <w:t>:</w:t>
      </w:r>
      <w:r>
        <w:rPr>
          <w:lang w:val="en-US"/>
        </w:rPr>
        <w:t xml:space="preserve">  Province releases “Implementation Procedures for the Agricultural System in Ontario’s Greater Golden Horseshoe” that includes Agricultural System mapping.</w:t>
      </w:r>
    </w:p>
    <w:p w14:paraId="49595C2C" w14:textId="77777777" w:rsidR="008D4CB0" w:rsidRDefault="008D4CB0" w:rsidP="008D4CB0">
      <w:pPr>
        <w:pStyle w:val="ListParagraph"/>
        <w:numPr>
          <w:ilvl w:val="0"/>
          <w:numId w:val="11"/>
        </w:numPr>
        <w:rPr>
          <w:lang w:val="en-US"/>
        </w:rPr>
      </w:pPr>
      <w:r>
        <w:rPr>
          <w:u w:val="single"/>
          <w:lang w:val="en-US"/>
        </w:rPr>
        <w:t>March 2018</w:t>
      </w:r>
      <w:r w:rsidRPr="003938D9">
        <w:rPr>
          <w:lang w:val="en-US"/>
        </w:rPr>
        <w:t>:</w:t>
      </w:r>
      <w:r>
        <w:rPr>
          <w:lang w:val="en-US"/>
        </w:rPr>
        <w:t xml:space="preserve">  Minister writes Chair advising of extensive consultation and consideration of provincial policies in development and approval of new NEP and expresses concern with re-examining NEP policies so soon after a comprehensive review.  Minister requests Commission allow for the updated plan to be implemented over a three-year period and report back with an assessment of the lessons learned through early implementation.  The Minister also reminded the Commission of their mandate to uphold the purpose and objectives of the Plan and Act, and to make decisions in accordance with the policies of the Plan.</w:t>
      </w:r>
    </w:p>
    <w:p w14:paraId="0431EA7E" w14:textId="77777777" w:rsidR="008D4CB0" w:rsidRDefault="008D4CB0" w:rsidP="008D4CB0">
      <w:pPr>
        <w:pStyle w:val="ListParagraph"/>
        <w:numPr>
          <w:ilvl w:val="0"/>
          <w:numId w:val="11"/>
        </w:numPr>
        <w:rPr>
          <w:lang w:val="en-US"/>
        </w:rPr>
      </w:pPr>
      <w:r w:rsidRPr="009654D5">
        <w:rPr>
          <w:u w:val="single"/>
          <w:lang w:val="en-US"/>
        </w:rPr>
        <w:t>April 2018</w:t>
      </w:r>
      <w:r>
        <w:rPr>
          <w:lang w:val="en-US"/>
        </w:rPr>
        <w:t xml:space="preserve">:  </w:t>
      </w:r>
    </w:p>
    <w:p w14:paraId="09FD8379" w14:textId="77777777" w:rsidR="008D4CB0" w:rsidRPr="008D4CB0" w:rsidRDefault="008D4CB0" w:rsidP="008D4CB0">
      <w:pPr>
        <w:pStyle w:val="ListParagraph"/>
        <w:numPr>
          <w:ilvl w:val="1"/>
          <w:numId w:val="11"/>
        </w:numPr>
        <w:rPr>
          <w:lang w:val="en-US"/>
        </w:rPr>
      </w:pPr>
      <w:r w:rsidRPr="008D4CB0">
        <w:rPr>
          <w:lang w:val="en-US"/>
        </w:rPr>
        <w:t xml:space="preserve">NEC staff prepare a report to provide information and context related to the Commission’s motion, including background regarding Ontario’s land use planning framework, the recently completed Coordinated Provincial Land Use Planning Review, and the </w:t>
      </w:r>
      <w:r w:rsidRPr="008D4CB0">
        <w:rPr>
          <w:i/>
          <w:iCs/>
          <w:lang w:val="en-US"/>
        </w:rPr>
        <w:t xml:space="preserve">Niagara Escarpment Planning and Development Act </w:t>
      </w:r>
      <w:r w:rsidRPr="008D4CB0">
        <w:rPr>
          <w:lang w:val="en-US"/>
        </w:rPr>
        <w:t>(NEPDA).  The report highlights that guidelines and policies released by the Province need to be considered within the NEP through the lens of the purpose and objectives of the NEPDA and NEP.</w:t>
      </w:r>
    </w:p>
    <w:p w14:paraId="5DA96610" w14:textId="77777777" w:rsidR="008D4CB0" w:rsidRDefault="008D4CB0" w:rsidP="008D4CB0">
      <w:pPr>
        <w:pStyle w:val="ListParagraph"/>
        <w:numPr>
          <w:ilvl w:val="1"/>
          <w:numId w:val="11"/>
        </w:numPr>
        <w:rPr>
          <w:lang w:val="en-US"/>
        </w:rPr>
      </w:pPr>
      <w:r>
        <w:rPr>
          <w:lang w:val="en-US"/>
        </w:rPr>
        <w:t>Commission rescinds motion from November 2017 after considering letter from Minister.</w:t>
      </w:r>
    </w:p>
    <w:p w14:paraId="46BD5AFD" w14:textId="77777777" w:rsidR="008D4CB0" w:rsidRPr="00535E13" w:rsidRDefault="008D4CB0" w:rsidP="008D4CB0">
      <w:pPr>
        <w:pStyle w:val="ListParagraph"/>
        <w:numPr>
          <w:ilvl w:val="0"/>
          <w:numId w:val="11"/>
        </w:numPr>
        <w:rPr>
          <w:lang w:val="en-US"/>
        </w:rPr>
      </w:pPr>
      <w:r w:rsidRPr="00535E13">
        <w:rPr>
          <w:u w:val="single"/>
          <w:lang w:val="en-US"/>
        </w:rPr>
        <w:lastRenderedPageBreak/>
        <w:t>February 2020</w:t>
      </w:r>
      <w:r>
        <w:rPr>
          <w:lang w:val="en-US"/>
        </w:rPr>
        <w:t>:  Region of Niagara has planning consultant undertake a review of NEP agricultural policies and implications to wineries.  Consultant identifies several challenges with NEP policies.</w:t>
      </w:r>
    </w:p>
    <w:p w14:paraId="69587A51" w14:textId="77777777" w:rsidR="008D4CB0" w:rsidRDefault="008D4CB0" w:rsidP="008D4CB0">
      <w:pPr>
        <w:pStyle w:val="ListParagraph"/>
        <w:numPr>
          <w:ilvl w:val="0"/>
          <w:numId w:val="11"/>
        </w:numPr>
        <w:rPr>
          <w:lang w:val="en-US"/>
        </w:rPr>
      </w:pPr>
      <w:r>
        <w:rPr>
          <w:u w:val="single"/>
          <w:lang w:val="en-US"/>
        </w:rPr>
        <w:t>October</w:t>
      </w:r>
      <w:r w:rsidRPr="005D009A">
        <w:rPr>
          <w:u w:val="single"/>
          <w:lang w:val="en-US"/>
        </w:rPr>
        <w:t xml:space="preserve"> 2020</w:t>
      </w:r>
      <w:r>
        <w:rPr>
          <w:lang w:val="en-US"/>
        </w:rPr>
        <w:t>: Chair and Director meet with Ontario Craft Winery Council, who express concerns that NEP agricultural policies do not adequately support the wine sector.</w:t>
      </w:r>
    </w:p>
    <w:p w14:paraId="02597089" w14:textId="3CBB43F5" w:rsidR="008D4CB0" w:rsidRDefault="008D4CB0" w:rsidP="008D4CB0">
      <w:pPr>
        <w:pStyle w:val="ListParagraph"/>
        <w:numPr>
          <w:ilvl w:val="0"/>
          <w:numId w:val="11"/>
        </w:numPr>
        <w:rPr>
          <w:lang w:val="en-US"/>
        </w:rPr>
      </w:pPr>
      <w:r>
        <w:rPr>
          <w:u w:val="single"/>
          <w:lang w:val="en-US"/>
        </w:rPr>
        <w:t xml:space="preserve">June 2021: </w:t>
      </w:r>
      <w:r w:rsidR="00392353">
        <w:rPr>
          <w:lang w:val="en-US"/>
        </w:rPr>
        <w:t xml:space="preserve"> NEC </w:t>
      </w:r>
      <w:r>
        <w:rPr>
          <w:lang w:val="en-US"/>
        </w:rPr>
        <w:t>Director and senior staff meet with Ontario Craft Winery Council to share information on development of Policy Guidance.  Council requests opportunity to provide further input as Policy Guidance is being developed.</w:t>
      </w:r>
    </w:p>
    <w:p w14:paraId="3C3EFBF4" w14:textId="4669444E" w:rsidR="008D4CB0" w:rsidRDefault="008D4CB0" w:rsidP="008D4CB0">
      <w:pPr>
        <w:pStyle w:val="ListParagraph"/>
        <w:numPr>
          <w:ilvl w:val="0"/>
          <w:numId w:val="11"/>
        </w:numPr>
        <w:rPr>
          <w:lang w:val="en-US"/>
        </w:rPr>
      </w:pPr>
      <w:r w:rsidRPr="00464E2B">
        <w:rPr>
          <w:u w:val="single"/>
          <w:lang w:val="en-US"/>
        </w:rPr>
        <w:t>July 2021</w:t>
      </w:r>
      <w:r>
        <w:rPr>
          <w:u w:val="single"/>
          <w:lang w:val="en-US"/>
        </w:rPr>
        <w:t>:</w:t>
      </w:r>
      <w:r>
        <w:rPr>
          <w:lang w:val="en-US"/>
        </w:rPr>
        <w:t xml:space="preserve">  NEC presented with two Development Permit applications proposing On-Farm Diversified Uses (lavender agritourism operations).  Staff recommendation is refusal as OFDUs are not permitted withing Escarpment Protection Areas outside of Agricultural Areas (which the properties are not).  Commission defers applications to September meeting and request staff evaluate applications based on relevant Development Criteria.</w:t>
      </w:r>
    </w:p>
    <w:p w14:paraId="5754A4B8" w14:textId="5C21C0E6" w:rsidR="008D4CB0" w:rsidRDefault="008D4CB0" w:rsidP="008D4CB0">
      <w:pPr>
        <w:pStyle w:val="ListParagraph"/>
        <w:numPr>
          <w:ilvl w:val="0"/>
          <w:numId w:val="11"/>
        </w:numPr>
        <w:rPr>
          <w:lang w:val="en-US"/>
        </w:rPr>
      </w:pPr>
      <w:r>
        <w:rPr>
          <w:u w:val="single"/>
          <w:lang w:val="en-US"/>
        </w:rPr>
        <w:t>July 2021:</w:t>
      </w:r>
      <w:r>
        <w:rPr>
          <w:lang w:val="en-US"/>
        </w:rPr>
        <w:t xml:space="preserve">  Several Commissioners raise concern regarding agricultural policies and request opportunity to discuss.  Chair recommends discussion at a Commission meeting so that all members can be engaged in this important topic.</w:t>
      </w:r>
    </w:p>
    <w:p w14:paraId="715CD337" w14:textId="77777777" w:rsidR="008D4CB0" w:rsidRDefault="008D4CB0" w:rsidP="008D4CB0">
      <w:pPr>
        <w:pStyle w:val="ListParagraph"/>
        <w:numPr>
          <w:ilvl w:val="0"/>
          <w:numId w:val="11"/>
        </w:numPr>
        <w:rPr>
          <w:lang w:val="en-US"/>
        </w:rPr>
      </w:pPr>
      <w:r>
        <w:rPr>
          <w:u w:val="single"/>
          <w:lang w:val="en-US"/>
        </w:rPr>
        <w:t>September 2021:</w:t>
      </w:r>
      <w:r>
        <w:rPr>
          <w:lang w:val="en-US"/>
        </w:rPr>
        <w:t xml:space="preserve"> </w:t>
      </w:r>
    </w:p>
    <w:p w14:paraId="15F20E8D" w14:textId="696C0DDD" w:rsidR="008D4CB0" w:rsidRDefault="008D4CB0" w:rsidP="008D4CB0">
      <w:pPr>
        <w:pStyle w:val="ListParagraph"/>
        <w:numPr>
          <w:ilvl w:val="1"/>
          <w:numId w:val="11"/>
        </w:numPr>
        <w:rPr>
          <w:lang w:val="en-US"/>
        </w:rPr>
      </w:pPr>
      <w:r>
        <w:rPr>
          <w:lang w:val="en-US"/>
        </w:rPr>
        <w:t>Staff Information and Discussion Report on NEP Agricultural Policies presented to Commission</w:t>
      </w:r>
    </w:p>
    <w:p w14:paraId="54B2C63E" w14:textId="77777777" w:rsidR="008D4CB0" w:rsidRDefault="008D4CB0" w:rsidP="00EF6575">
      <w:pPr>
        <w:pStyle w:val="ListParagraph"/>
        <w:ind w:left="1440"/>
        <w:rPr>
          <w:lang w:val="en-US"/>
        </w:rPr>
      </w:pPr>
    </w:p>
    <w:p w14:paraId="654018F5" w14:textId="77777777" w:rsidR="008D4CB0" w:rsidRPr="00B308C4" w:rsidRDefault="008D4CB0" w:rsidP="008D4CB0">
      <w:pPr>
        <w:pStyle w:val="ListParagraph"/>
        <w:rPr>
          <w:lang w:val="en-US"/>
        </w:rPr>
      </w:pPr>
    </w:p>
    <w:p w14:paraId="2BAE140F" w14:textId="77777777" w:rsidR="00FE082F" w:rsidRDefault="00FE082F" w:rsidP="008D4CB0">
      <w:pPr>
        <w:spacing w:after="0"/>
        <w:contextualSpacing/>
        <w:rPr>
          <w:rFonts w:ascii="Arial" w:hAnsi="Arial" w:cs="Arial"/>
          <w:szCs w:val="24"/>
        </w:rPr>
        <w:sectPr w:rsidR="00FE082F" w:rsidSect="00697747">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851" w:left="1440" w:header="709" w:footer="709" w:gutter="0"/>
          <w:cols w:space="708"/>
          <w:titlePg/>
          <w:docGrid w:linePitch="360"/>
        </w:sectPr>
      </w:pPr>
    </w:p>
    <w:p w14:paraId="1984B8CD" w14:textId="319E59E4" w:rsidR="00217122" w:rsidRPr="007E15D6" w:rsidRDefault="00337798" w:rsidP="00217122">
      <w:pPr>
        <w:jc w:val="right"/>
        <w:rPr>
          <w:b/>
          <w:sz w:val="28"/>
        </w:rPr>
      </w:pPr>
      <w:r w:rsidRPr="00337798">
        <w:lastRenderedPageBreak/>
        <w:tab/>
      </w:r>
      <w:r w:rsidR="00217122">
        <w:rPr>
          <w:b/>
          <w:sz w:val="28"/>
        </w:rPr>
        <w:t xml:space="preserve">TABLE </w:t>
      </w:r>
      <w:r w:rsidR="006C1AC9">
        <w:rPr>
          <w:b/>
          <w:sz w:val="28"/>
        </w:rPr>
        <w:t>2</w:t>
      </w:r>
    </w:p>
    <w:p w14:paraId="3810DC85" w14:textId="77777777" w:rsidR="00217122" w:rsidRPr="006C1AC9" w:rsidRDefault="00217122" w:rsidP="00217122">
      <w:pPr>
        <w:jc w:val="center"/>
        <w:rPr>
          <w:b/>
          <w:bCs/>
        </w:rPr>
      </w:pPr>
      <w:r w:rsidRPr="006C1AC9">
        <w:rPr>
          <w:b/>
          <w:bCs/>
        </w:rPr>
        <w:t>Comparison of Agriculture-related Policies: 2005 and 2017 Niagara Escarpment Plans</w:t>
      </w:r>
    </w:p>
    <w:tbl>
      <w:tblPr>
        <w:tblStyle w:val="TableGrid"/>
        <w:tblW w:w="14459" w:type="dxa"/>
        <w:tblInd w:w="-709" w:type="dxa"/>
        <w:tblLayout w:type="fixed"/>
        <w:tblLook w:val="04A0" w:firstRow="1" w:lastRow="0" w:firstColumn="1" w:lastColumn="0" w:noHBand="0" w:noVBand="1"/>
      </w:tblPr>
      <w:tblGrid>
        <w:gridCol w:w="1336"/>
        <w:gridCol w:w="1202"/>
        <w:gridCol w:w="1350"/>
        <w:gridCol w:w="1350"/>
        <w:gridCol w:w="1350"/>
        <w:gridCol w:w="2790"/>
        <w:gridCol w:w="1350"/>
        <w:gridCol w:w="1350"/>
        <w:gridCol w:w="1080"/>
        <w:gridCol w:w="1301"/>
      </w:tblGrid>
      <w:tr w:rsidR="000C4FC3" w:rsidRPr="00221BD8" w14:paraId="637A8657" w14:textId="65E6D15B" w:rsidTr="003A5A2B">
        <w:trPr>
          <w:cantSplit/>
          <w:trHeight w:val="2051"/>
        </w:trPr>
        <w:tc>
          <w:tcPr>
            <w:tcW w:w="1336" w:type="dxa"/>
            <w:tcBorders>
              <w:top w:val="nil"/>
              <w:left w:val="nil"/>
              <w:bottom w:val="single" w:sz="4" w:space="0" w:color="auto"/>
              <w:right w:val="single" w:sz="4" w:space="0" w:color="auto"/>
            </w:tcBorders>
          </w:tcPr>
          <w:p w14:paraId="6EF83857" w14:textId="77777777" w:rsidR="000C4FC3" w:rsidRPr="00D63D88" w:rsidRDefault="000C4FC3" w:rsidP="000C4FC3">
            <w:pPr>
              <w:rPr>
                <w:b/>
                <w:sz w:val="20"/>
                <w:szCs w:val="20"/>
              </w:rPr>
            </w:pPr>
          </w:p>
        </w:tc>
        <w:tc>
          <w:tcPr>
            <w:tcW w:w="1202" w:type="dxa"/>
            <w:tcBorders>
              <w:top w:val="single" w:sz="4" w:space="0" w:color="auto"/>
              <w:left w:val="single" w:sz="4" w:space="0" w:color="auto"/>
              <w:bottom w:val="single" w:sz="4" w:space="0" w:color="auto"/>
              <w:right w:val="single" w:sz="4" w:space="0" w:color="auto"/>
            </w:tcBorders>
            <w:textDirection w:val="btLr"/>
            <w:vAlign w:val="center"/>
          </w:tcPr>
          <w:p w14:paraId="43964BEE" w14:textId="77777777" w:rsidR="000C4FC3" w:rsidRDefault="000C4FC3" w:rsidP="000C4FC3">
            <w:pPr>
              <w:ind w:left="113" w:right="113"/>
              <w:rPr>
                <w:b/>
                <w:sz w:val="20"/>
                <w:szCs w:val="20"/>
              </w:rPr>
            </w:pPr>
            <w:r>
              <w:rPr>
                <w:b/>
                <w:sz w:val="20"/>
                <w:szCs w:val="20"/>
              </w:rPr>
              <w:t>Agricultural</w:t>
            </w:r>
          </w:p>
          <w:p w14:paraId="77EBB9B5" w14:textId="77777777" w:rsidR="000C4FC3" w:rsidRPr="00D63D88" w:rsidRDefault="000C4FC3" w:rsidP="000C4FC3">
            <w:pPr>
              <w:ind w:left="113" w:right="113"/>
              <w:rPr>
                <w:b/>
                <w:sz w:val="20"/>
                <w:szCs w:val="20"/>
              </w:rPr>
            </w:pPr>
            <w:r w:rsidRPr="00D63D88">
              <w:rPr>
                <w:b/>
                <w:sz w:val="20"/>
                <w:szCs w:val="20"/>
              </w:rPr>
              <w:t>Uses</w:t>
            </w:r>
            <w:r>
              <w:rPr>
                <w:rStyle w:val="FootnoteReference"/>
                <w:sz w:val="20"/>
                <w:szCs w:val="20"/>
              </w:rPr>
              <w:footnoteReference w:id="10"/>
            </w:r>
          </w:p>
        </w:tc>
        <w:tc>
          <w:tcPr>
            <w:tcW w:w="1350" w:type="dxa"/>
            <w:tcBorders>
              <w:left w:val="single" w:sz="4" w:space="0" w:color="auto"/>
            </w:tcBorders>
            <w:textDirection w:val="btLr"/>
            <w:vAlign w:val="center"/>
          </w:tcPr>
          <w:p w14:paraId="29404333" w14:textId="77777777" w:rsidR="000C4FC3" w:rsidRPr="00D63D88" w:rsidRDefault="000C4FC3" w:rsidP="000C4FC3">
            <w:pPr>
              <w:ind w:left="113" w:right="113"/>
              <w:rPr>
                <w:b/>
                <w:sz w:val="20"/>
                <w:szCs w:val="20"/>
              </w:rPr>
            </w:pPr>
            <w:r w:rsidRPr="00D63D88">
              <w:rPr>
                <w:b/>
                <w:sz w:val="20"/>
                <w:szCs w:val="20"/>
              </w:rPr>
              <w:t>Small scale commercial uses accessory to agriculture</w:t>
            </w:r>
            <w:r>
              <w:rPr>
                <w:rStyle w:val="FootnoteReference"/>
                <w:sz w:val="20"/>
                <w:szCs w:val="20"/>
              </w:rPr>
              <w:footnoteReference w:id="11"/>
            </w:r>
          </w:p>
          <w:p w14:paraId="215ECB7A" w14:textId="77777777" w:rsidR="000C4FC3" w:rsidRPr="00D63D88" w:rsidRDefault="000C4FC3" w:rsidP="000C4FC3">
            <w:pPr>
              <w:ind w:left="113" w:right="113"/>
              <w:rPr>
                <w:b/>
                <w:sz w:val="20"/>
                <w:szCs w:val="20"/>
              </w:rPr>
            </w:pPr>
          </w:p>
        </w:tc>
        <w:tc>
          <w:tcPr>
            <w:tcW w:w="1350" w:type="dxa"/>
            <w:textDirection w:val="btLr"/>
            <w:vAlign w:val="center"/>
          </w:tcPr>
          <w:p w14:paraId="4CB0D9E4" w14:textId="77777777" w:rsidR="000C4FC3" w:rsidRPr="00D63D88" w:rsidRDefault="000C4FC3" w:rsidP="000C4FC3">
            <w:pPr>
              <w:ind w:left="75"/>
              <w:rPr>
                <w:b/>
                <w:sz w:val="20"/>
                <w:szCs w:val="20"/>
              </w:rPr>
            </w:pPr>
            <w:r w:rsidRPr="00D63D88">
              <w:rPr>
                <w:b/>
                <w:sz w:val="20"/>
                <w:szCs w:val="20"/>
              </w:rPr>
              <w:t>S</w:t>
            </w:r>
            <w:r>
              <w:rPr>
                <w:b/>
                <w:sz w:val="20"/>
                <w:szCs w:val="20"/>
              </w:rPr>
              <w:t xml:space="preserve">mall scale commercial </w:t>
            </w:r>
            <w:r w:rsidRPr="00D63D88">
              <w:rPr>
                <w:b/>
                <w:sz w:val="20"/>
                <w:szCs w:val="20"/>
              </w:rPr>
              <w:t xml:space="preserve">and industrial </w:t>
            </w:r>
            <w:r>
              <w:rPr>
                <w:b/>
                <w:sz w:val="20"/>
                <w:szCs w:val="20"/>
              </w:rPr>
              <w:t>d</w:t>
            </w:r>
            <w:r w:rsidRPr="00D63D88">
              <w:rPr>
                <w:b/>
                <w:sz w:val="20"/>
                <w:szCs w:val="20"/>
              </w:rPr>
              <w:t>ev</w:t>
            </w:r>
            <w:r>
              <w:rPr>
                <w:b/>
                <w:sz w:val="20"/>
                <w:szCs w:val="20"/>
              </w:rPr>
              <w:t xml:space="preserve">. </w:t>
            </w:r>
            <w:r w:rsidRPr="00D63D88">
              <w:rPr>
                <w:b/>
                <w:sz w:val="20"/>
                <w:szCs w:val="20"/>
              </w:rPr>
              <w:t>servicing agriculture</w:t>
            </w:r>
            <w:r>
              <w:rPr>
                <w:rStyle w:val="FootnoteReference"/>
                <w:sz w:val="20"/>
                <w:szCs w:val="20"/>
              </w:rPr>
              <w:footnoteReference w:id="12"/>
            </w:r>
            <w:r w:rsidRPr="00D63D88">
              <w:rPr>
                <w:b/>
                <w:sz w:val="20"/>
                <w:szCs w:val="20"/>
              </w:rPr>
              <w:t xml:space="preserve"> </w:t>
            </w:r>
          </w:p>
        </w:tc>
        <w:tc>
          <w:tcPr>
            <w:tcW w:w="1350" w:type="dxa"/>
            <w:textDirection w:val="btLr"/>
            <w:vAlign w:val="center"/>
          </w:tcPr>
          <w:p w14:paraId="37A3E01D" w14:textId="77777777" w:rsidR="000C4FC3" w:rsidRPr="00D63D88" w:rsidRDefault="000C4FC3" w:rsidP="000C4FC3">
            <w:pPr>
              <w:ind w:left="113" w:right="113"/>
              <w:rPr>
                <w:b/>
                <w:sz w:val="20"/>
                <w:szCs w:val="20"/>
              </w:rPr>
            </w:pPr>
            <w:r>
              <w:rPr>
                <w:b/>
                <w:sz w:val="20"/>
                <w:szCs w:val="20"/>
              </w:rPr>
              <w:t>Wineries and cideries</w:t>
            </w:r>
            <w:r>
              <w:rPr>
                <w:rStyle w:val="FootnoteReference"/>
                <w:sz w:val="20"/>
                <w:szCs w:val="20"/>
              </w:rPr>
              <w:footnoteReference w:id="13"/>
            </w:r>
          </w:p>
        </w:tc>
        <w:tc>
          <w:tcPr>
            <w:tcW w:w="2790" w:type="dxa"/>
            <w:textDirection w:val="btLr"/>
            <w:vAlign w:val="center"/>
          </w:tcPr>
          <w:p w14:paraId="24D97BAC" w14:textId="77777777" w:rsidR="000C4FC3" w:rsidRPr="00D63D88" w:rsidRDefault="000C4FC3" w:rsidP="000C4FC3">
            <w:pPr>
              <w:ind w:left="113" w:right="113"/>
              <w:rPr>
                <w:b/>
                <w:sz w:val="20"/>
                <w:szCs w:val="20"/>
              </w:rPr>
            </w:pPr>
            <w:r>
              <w:rPr>
                <w:b/>
                <w:sz w:val="20"/>
                <w:szCs w:val="20"/>
              </w:rPr>
              <w:t>Winery incidental facilities</w:t>
            </w:r>
          </w:p>
        </w:tc>
        <w:tc>
          <w:tcPr>
            <w:tcW w:w="1350" w:type="dxa"/>
            <w:textDirection w:val="btLr"/>
            <w:vAlign w:val="center"/>
          </w:tcPr>
          <w:p w14:paraId="466A45BC" w14:textId="77777777" w:rsidR="000C4FC3" w:rsidRPr="00D63D88" w:rsidRDefault="000C4FC3" w:rsidP="000C4FC3">
            <w:pPr>
              <w:ind w:left="113" w:right="113"/>
              <w:rPr>
                <w:b/>
                <w:sz w:val="20"/>
                <w:szCs w:val="20"/>
              </w:rPr>
            </w:pPr>
            <w:r>
              <w:rPr>
                <w:b/>
                <w:sz w:val="20"/>
                <w:szCs w:val="20"/>
              </w:rPr>
              <w:t>Winery Events</w:t>
            </w:r>
          </w:p>
        </w:tc>
        <w:tc>
          <w:tcPr>
            <w:tcW w:w="1350" w:type="dxa"/>
            <w:textDirection w:val="btLr"/>
            <w:vAlign w:val="center"/>
          </w:tcPr>
          <w:p w14:paraId="76020560" w14:textId="77777777" w:rsidR="000C4FC3" w:rsidRPr="00D63D88" w:rsidRDefault="000C4FC3" w:rsidP="000C4FC3">
            <w:pPr>
              <w:ind w:left="113" w:right="113"/>
              <w:rPr>
                <w:b/>
                <w:sz w:val="20"/>
                <w:szCs w:val="20"/>
              </w:rPr>
            </w:pPr>
            <w:r w:rsidRPr="00D63D88">
              <w:rPr>
                <w:b/>
                <w:sz w:val="20"/>
                <w:szCs w:val="20"/>
              </w:rPr>
              <w:t>On-farm diversified uses</w:t>
            </w:r>
          </w:p>
        </w:tc>
        <w:tc>
          <w:tcPr>
            <w:tcW w:w="1080" w:type="dxa"/>
            <w:textDirection w:val="btLr"/>
            <w:vAlign w:val="center"/>
          </w:tcPr>
          <w:p w14:paraId="46952A09" w14:textId="77777777" w:rsidR="000C4FC3" w:rsidRPr="00D63D88" w:rsidRDefault="000C4FC3" w:rsidP="000C4FC3">
            <w:pPr>
              <w:ind w:left="113" w:right="113"/>
              <w:rPr>
                <w:b/>
                <w:sz w:val="20"/>
                <w:szCs w:val="20"/>
              </w:rPr>
            </w:pPr>
            <w:r w:rsidRPr="00D63D88">
              <w:rPr>
                <w:b/>
                <w:sz w:val="20"/>
                <w:szCs w:val="20"/>
              </w:rPr>
              <w:t>Agriculture-related Uses</w:t>
            </w:r>
          </w:p>
        </w:tc>
        <w:tc>
          <w:tcPr>
            <w:tcW w:w="1301" w:type="dxa"/>
            <w:textDirection w:val="btLr"/>
          </w:tcPr>
          <w:p w14:paraId="16F7CD69" w14:textId="5EB24171" w:rsidR="000C4FC3" w:rsidRPr="00D63D88" w:rsidRDefault="000C4FC3" w:rsidP="000C4FC3">
            <w:pPr>
              <w:ind w:left="113" w:right="113"/>
              <w:rPr>
                <w:b/>
                <w:sz w:val="20"/>
                <w:szCs w:val="20"/>
              </w:rPr>
            </w:pPr>
            <w:r>
              <w:rPr>
                <w:b/>
                <w:sz w:val="20"/>
                <w:szCs w:val="20"/>
              </w:rPr>
              <w:t>Dwelling Units Accessory to Agriculture</w:t>
            </w:r>
          </w:p>
        </w:tc>
      </w:tr>
      <w:tr w:rsidR="000C4FC3" w14:paraId="68D0205E" w14:textId="553EC57F" w:rsidTr="003A5A2B">
        <w:tc>
          <w:tcPr>
            <w:tcW w:w="1336" w:type="dxa"/>
            <w:tcBorders>
              <w:top w:val="single" w:sz="4" w:space="0" w:color="auto"/>
            </w:tcBorders>
            <w:vAlign w:val="center"/>
          </w:tcPr>
          <w:p w14:paraId="6E80A719" w14:textId="77777777" w:rsidR="000C4FC3" w:rsidRPr="00D63D88" w:rsidRDefault="000C4FC3" w:rsidP="000C4FC3">
            <w:pPr>
              <w:jc w:val="center"/>
              <w:rPr>
                <w:b/>
                <w:sz w:val="20"/>
                <w:szCs w:val="20"/>
              </w:rPr>
            </w:pPr>
            <w:r w:rsidRPr="00D63D88">
              <w:rPr>
                <w:b/>
                <w:sz w:val="20"/>
                <w:szCs w:val="20"/>
              </w:rPr>
              <w:t>2005 NEP</w:t>
            </w:r>
          </w:p>
        </w:tc>
        <w:tc>
          <w:tcPr>
            <w:tcW w:w="1202" w:type="dxa"/>
            <w:tcBorders>
              <w:top w:val="single" w:sz="4" w:space="0" w:color="auto"/>
            </w:tcBorders>
            <w:vAlign w:val="center"/>
          </w:tcPr>
          <w:p w14:paraId="58974EB6" w14:textId="77777777" w:rsidR="000C4FC3" w:rsidRPr="00D63D88" w:rsidRDefault="000C4FC3" w:rsidP="000C4FC3">
            <w:pPr>
              <w:rPr>
                <w:sz w:val="20"/>
                <w:szCs w:val="20"/>
              </w:rPr>
            </w:pPr>
            <w:r w:rsidRPr="00D63D88">
              <w:rPr>
                <w:sz w:val="20"/>
                <w:szCs w:val="20"/>
              </w:rPr>
              <w:t>Permitted</w:t>
            </w:r>
          </w:p>
          <w:p w14:paraId="3FB373DC" w14:textId="77777777" w:rsidR="000C4FC3" w:rsidRPr="00D63D88" w:rsidRDefault="000C4FC3" w:rsidP="000C4FC3">
            <w:pPr>
              <w:rPr>
                <w:sz w:val="20"/>
                <w:szCs w:val="20"/>
              </w:rPr>
            </w:pPr>
          </w:p>
          <w:p w14:paraId="62708D4C" w14:textId="77777777" w:rsidR="000C4FC3" w:rsidRPr="00D63D88" w:rsidRDefault="000C4FC3" w:rsidP="000C4FC3">
            <w:pPr>
              <w:rPr>
                <w:sz w:val="20"/>
                <w:szCs w:val="20"/>
              </w:rPr>
            </w:pPr>
            <w:r w:rsidRPr="00D63D88">
              <w:rPr>
                <w:sz w:val="20"/>
                <w:szCs w:val="20"/>
              </w:rPr>
              <w:t>No size restrictions</w:t>
            </w:r>
          </w:p>
        </w:tc>
        <w:tc>
          <w:tcPr>
            <w:tcW w:w="1350" w:type="dxa"/>
            <w:vAlign w:val="center"/>
          </w:tcPr>
          <w:p w14:paraId="12E9764D" w14:textId="77777777" w:rsidR="000C4FC3" w:rsidRPr="00D63D88" w:rsidRDefault="000C4FC3" w:rsidP="000C4FC3">
            <w:pPr>
              <w:rPr>
                <w:sz w:val="20"/>
                <w:szCs w:val="20"/>
              </w:rPr>
            </w:pPr>
            <w:r>
              <w:rPr>
                <w:sz w:val="20"/>
                <w:szCs w:val="20"/>
              </w:rPr>
              <w:t>Limited to 465 m</w:t>
            </w:r>
            <w:r w:rsidRPr="00D63D88">
              <w:rPr>
                <w:sz w:val="20"/>
                <w:szCs w:val="20"/>
                <w:vertAlign w:val="superscript"/>
              </w:rPr>
              <w:t>2</w:t>
            </w:r>
          </w:p>
        </w:tc>
        <w:tc>
          <w:tcPr>
            <w:tcW w:w="1350" w:type="dxa"/>
            <w:vAlign w:val="center"/>
          </w:tcPr>
          <w:p w14:paraId="216C2BB6" w14:textId="77777777" w:rsidR="000C4FC3" w:rsidRDefault="000C4FC3" w:rsidP="000C4FC3">
            <w:pPr>
              <w:rPr>
                <w:sz w:val="20"/>
                <w:szCs w:val="20"/>
              </w:rPr>
            </w:pPr>
            <w:r>
              <w:rPr>
                <w:sz w:val="20"/>
                <w:szCs w:val="20"/>
              </w:rPr>
              <w:t>Limited to</w:t>
            </w:r>
          </w:p>
          <w:p w14:paraId="4DD5A063" w14:textId="77777777" w:rsidR="000C4FC3" w:rsidRPr="00D63D88" w:rsidRDefault="000C4FC3" w:rsidP="000C4FC3">
            <w:pPr>
              <w:rPr>
                <w:sz w:val="20"/>
                <w:szCs w:val="20"/>
              </w:rPr>
            </w:pPr>
            <w:r>
              <w:rPr>
                <w:sz w:val="20"/>
                <w:szCs w:val="20"/>
              </w:rPr>
              <w:t>465 m</w:t>
            </w:r>
            <w:r w:rsidRPr="00D63D88">
              <w:rPr>
                <w:sz w:val="20"/>
                <w:szCs w:val="20"/>
                <w:vertAlign w:val="superscript"/>
              </w:rPr>
              <w:t>2</w:t>
            </w:r>
          </w:p>
        </w:tc>
        <w:tc>
          <w:tcPr>
            <w:tcW w:w="1350" w:type="dxa"/>
            <w:vAlign w:val="center"/>
          </w:tcPr>
          <w:p w14:paraId="1776C372" w14:textId="77777777" w:rsidR="000C4FC3" w:rsidRDefault="000C4FC3" w:rsidP="000C4FC3">
            <w:pPr>
              <w:rPr>
                <w:sz w:val="20"/>
                <w:szCs w:val="20"/>
              </w:rPr>
            </w:pPr>
            <w:r>
              <w:rPr>
                <w:sz w:val="20"/>
                <w:szCs w:val="20"/>
              </w:rPr>
              <w:t>Limited to a total of 2,323 m</w:t>
            </w:r>
            <w:r w:rsidRPr="00D63D88">
              <w:rPr>
                <w:sz w:val="20"/>
                <w:szCs w:val="20"/>
                <w:vertAlign w:val="superscript"/>
              </w:rPr>
              <w:t>2</w:t>
            </w:r>
            <w:r>
              <w:rPr>
                <w:sz w:val="20"/>
                <w:szCs w:val="20"/>
              </w:rPr>
              <w:t xml:space="preserve"> (above grade)</w:t>
            </w:r>
          </w:p>
          <w:p w14:paraId="423498D9" w14:textId="77777777" w:rsidR="000C4FC3" w:rsidRDefault="000C4FC3" w:rsidP="000C4FC3">
            <w:pPr>
              <w:rPr>
                <w:sz w:val="20"/>
                <w:szCs w:val="20"/>
              </w:rPr>
            </w:pPr>
          </w:p>
          <w:p w14:paraId="76D88BA7" w14:textId="77777777" w:rsidR="000C4FC3" w:rsidRPr="00D63D88" w:rsidRDefault="000C4FC3" w:rsidP="000C4FC3">
            <w:pPr>
              <w:rPr>
                <w:sz w:val="20"/>
                <w:szCs w:val="20"/>
              </w:rPr>
            </w:pPr>
            <w:r>
              <w:rPr>
                <w:sz w:val="20"/>
                <w:szCs w:val="20"/>
              </w:rPr>
              <w:t xml:space="preserve">Minimum 4 ha parcel size </w:t>
            </w:r>
          </w:p>
        </w:tc>
        <w:tc>
          <w:tcPr>
            <w:tcW w:w="2790" w:type="dxa"/>
            <w:vAlign w:val="center"/>
          </w:tcPr>
          <w:p w14:paraId="6C72892A" w14:textId="77777777" w:rsidR="000C4FC3" w:rsidRDefault="000C4FC3" w:rsidP="000C4FC3">
            <w:pPr>
              <w:rPr>
                <w:sz w:val="20"/>
                <w:szCs w:val="20"/>
              </w:rPr>
            </w:pPr>
            <w:r>
              <w:rPr>
                <w:sz w:val="20"/>
                <w:szCs w:val="20"/>
              </w:rPr>
              <w:t>Single facility to sell wine with limited food service (light meals)</w:t>
            </w:r>
          </w:p>
          <w:p w14:paraId="01050813" w14:textId="77777777" w:rsidR="000C4FC3" w:rsidRDefault="000C4FC3" w:rsidP="000C4FC3">
            <w:pPr>
              <w:rPr>
                <w:sz w:val="20"/>
                <w:szCs w:val="20"/>
              </w:rPr>
            </w:pPr>
          </w:p>
          <w:p w14:paraId="39135F19" w14:textId="77777777" w:rsidR="000C4FC3" w:rsidRDefault="000C4FC3" w:rsidP="000C4FC3">
            <w:pPr>
              <w:rPr>
                <w:sz w:val="20"/>
                <w:szCs w:val="20"/>
              </w:rPr>
            </w:pPr>
            <w:r>
              <w:rPr>
                <w:sz w:val="20"/>
                <w:szCs w:val="20"/>
              </w:rPr>
              <w:t>Limited to 50 people</w:t>
            </w:r>
          </w:p>
          <w:p w14:paraId="373423A4" w14:textId="77777777" w:rsidR="000C4FC3" w:rsidRDefault="000C4FC3" w:rsidP="000C4FC3">
            <w:pPr>
              <w:rPr>
                <w:sz w:val="20"/>
                <w:szCs w:val="20"/>
              </w:rPr>
            </w:pPr>
          </w:p>
          <w:p w14:paraId="66481C8C" w14:textId="77777777" w:rsidR="000C4FC3" w:rsidRDefault="000C4FC3" w:rsidP="000C4FC3">
            <w:pPr>
              <w:rPr>
                <w:sz w:val="20"/>
                <w:szCs w:val="20"/>
              </w:rPr>
            </w:pPr>
            <w:r>
              <w:rPr>
                <w:sz w:val="20"/>
                <w:szCs w:val="20"/>
              </w:rPr>
              <w:t>Limited to 25% of the above-grade floor area</w:t>
            </w:r>
          </w:p>
          <w:p w14:paraId="777C1C1E" w14:textId="77777777" w:rsidR="000C4FC3" w:rsidRDefault="000C4FC3" w:rsidP="000C4FC3">
            <w:pPr>
              <w:rPr>
                <w:sz w:val="20"/>
                <w:szCs w:val="20"/>
              </w:rPr>
            </w:pPr>
          </w:p>
          <w:p w14:paraId="6F4FB55D" w14:textId="77777777" w:rsidR="000C4FC3" w:rsidRDefault="000C4FC3" w:rsidP="000C4FC3">
            <w:pPr>
              <w:rPr>
                <w:sz w:val="20"/>
                <w:szCs w:val="20"/>
              </w:rPr>
            </w:pPr>
            <w:r>
              <w:rPr>
                <w:sz w:val="20"/>
                <w:szCs w:val="20"/>
              </w:rPr>
              <w:t>Can only operate when the winery is open for public tours or events</w:t>
            </w:r>
          </w:p>
        </w:tc>
        <w:tc>
          <w:tcPr>
            <w:tcW w:w="1350" w:type="dxa"/>
            <w:vAlign w:val="center"/>
          </w:tcPr>
          <w:p w14:paraId="5FEDA466" w14:textId="77777777" w:rsidR="000C4FC3" w:rsidRDefault="000C4FC3" w:rsidP="000C4FC3">
            <w:pPr>
              <w:rPr>
                <w:sz w:val="20"/>
                <w:szCs w:val="20"/>
              </w:rPr>
            </w:pPr>
            <w:r>
              <w:rPr>
                <w:sz w:val="20"/>
                <w:szCs w:val="20"/>
              </w:rPr>
              <w:t>Indoor and outdoor events, subject to approval of an application</w:t>
            </w:r>
          </w:p>
        </w:tc>
        <w:tc>
          <w:tcPr>
            <w:tcW w:w="1350" w:type="dxa"/>
            <w:vAlign w:val="center"/>
          </w:tcPr>
          <w:p w14:paraId="3AC8C162" w14:textId="77777777" w:rsidR="000C4FC3" w:rsidRPr="00D63D88" w:rsidRDefault="000C4FC3" w:rsidP="000C4FC3">
            <w:pPr>
              <w:rPr>
                <w:sz w:val="20"/>
                <w:szCs w:val="20"/>
              </w:rPr>
            </w:pPr>
            <w:r>
              <w:rPr>
                <w:sz w:val="20"/>
                <w:szCs w:val="20"/>
              </w:rPr>
              <w:t>n/a</w:t>
            </w:r>
          </w:p>
        </w:tc>
        <w:tc>
          <w:tcPr>
            <w:tcW w:w="1080" w:type="dxa"/>
            <w:vAlign w:val="center"/>
          </w:tcPr>
          <w:p w14:paraId="42AFAEC2" w14:textId="77777777" w:rsidR="000C4FC3" w:rsidRPr="00D63D88" w:rsidRDefault="000C4FC3" w:rsidP="000C4FC3">
            <w:pPr>
              <w:rPr>
                <w:sz w:val="20"/>
                <w:szCs w:val="20"/>
              </w:rPr>
            </w:pPr>
            <w:r>
              <w:rPr>
                <w:sz w:val="20"/>
                <w:szCs w:val="20"/>
              </w:rPr>
              <w:t>n/a</w:t>
            </w:r>
          </w:p>
        </w:tc>
        <w:tc>
          <w:tcPr>
            <w:tcW w:w="1301" w:type="dxa"/>
          </w:tcPr>
          <w:p w14:paraId="55F184F3" w14:textId="77777777" w:rsidR="000C4FC3" w:rsidRDefault="003A5A2B" w:rsidP="003A5A2B">
            <w:pPr>
              <w:rPr>
                <w:sz w:val="20"/>
                <w:szCs w:val="20"/>
              </w:rPr>
            </w:pPr>
            <w:r>
              <w:rPr>
                <w:sz w:val="20"/>
                <w:szCs w:val="20"/>
              </w:rPr>
              <w:t>3-yr limitation on Permit</w:t>
            </w:r>
          </w:p>
          <w:p w14:paraId="13964C61" w14:textId="77777777" w:rsidR="003A5A2B" w:rsidRDefault="003A5A2B" w:rsidP="003A5A2B">
            <w:pPr>
              <w:rPr>
                <w:sz w:val="20"/>
                <w:szCs w:val="20"/>
              </w:rPr>
            </w:pPr>
          </w:p>
          <w:p w14:paraId="1F9A8017" w14:textId="3F04416A" w:rsidR="003A5A2B" w:rsidRDefault="003A5A2B" w:rsidP="003A5A2B">
            <w:pPr>
              <w:rPr>
                <w:sz w:val="20"/>
                <w:szCs w:val="20"/>
              </w:rPr>
            </w:pPr>
            <w:r>
              <w:rPr>
                <w:sz w:val="20"/>
                <w:szCs w:val="20"/>
              </w:rPr>
              <w:t>Farmer shall live in principal farm residence</w:t>
            </w:r>
          </w:p>
        </w:tc>
      </w:tr>
      <w:tr w:rsidR="000C4FC3" w14:paraId="2499BABD" w14:textId="202037DB" w:rsidTr="00C476B0">
        <w:trPr>
          <w:trHeight w:val="2307"/>
        </w:trPr>
        <w:tc>
          <w:tcPr>
            <w:tcW w:w="1336" w:type="dxa"/>
            <w:vAlign w:val="center"/>
          </w:tcPr>
          <w:p w14:paraId="13769277" w14:textId="77777777" w:rsidR="000C4FC3" w:rsidRPr="00D63D88" w:rsidRDefault="000C4FC3" w:rsidP="000C4FC3">
            <w:pPr>
              <w:jc w:val="center"/>
              <w:rPr>
                <w:b/>
                <w:sz w:val="20"/>
                <w:szCs w:val="20"/>
              </w:rPr>
            </w:pPr>
            <w:r w:rsidRPr="00D63D88">
              <w:rPr>
                <w:b/>
                <w:sz w:val="20"/>
                <w:szCs w:val="20"/>
              </w:rPr>
              <w:t>2017 NEP</w:t>
            </w:r>
          </w:p>
        </w:tc>
        <w:tc>
          <w:tcPr>
            <w:tcW w:w="1202" w:type="dxa"/>
            <w:vAlign w:val="center"/>
          </w:tcPr>
          <w:p w14:paraId="46DD8A50" w14:textId="77777777" w:rsidR="000C4FC3" w:rsidRPr="00D63D88" w:rsidRDefault="000C4FC3" w:rsidP="000C4FC3">
            <w:pPr>
              <w:rPr>
                <w:sz w:val="20"/>
                <w:szCs w:val="20"/>
              </w:rPr>
            </w:pPr>
            <w:r w:rsidRPr="00D63D88">
              <w:rPr>
                <w:sz w:val="20"/>
                <w:szCs w:val="20"/>
              </w:rPr>
              <w:t>Permitted</w:t>
            </w:r>
          </w:p>
          <w:p w14:paraId="3C1009E9" w14:textId="77777777" w:rsidR="000C4FC3" w:rsidRPr="00D63D88" w:rsidRDefault="000C4FC3" w:rsidP="000C4FC3">
            <w:pPr>
              <w:rPr>
                <w:sz w:val="20"/>
                <w:szCs w:val="20"/>
              </w:rPr>
            </w:pPr>
          </w:p>
          <w:p w14:paraId="4E590A3B" w14:textId="77777777" w:rsidR="000C4FC3" w:rsidRPr="00D63D88" w:rsidRDefault="000C4FC3" w:rsidP="000C4FC3">
            <w:pPr>
              <w:rPr>
                <w:sz w:val="20"/>
                <w:szCs w:val="20"/>
              </w:rPr>
            </w:pPr>
            <w:r w:rsidRPr="00D63D88">
              <w:rPr>
                <w:sz w:val="20"/>
                <w:szCs w:val="20"/>
              </w:rPr>
              <w:t>No size restrictions</w:t>
            </w:r>
          </w:p>
        </w:tc>
        <w:tc>
          <w:tcPr>
            <w:tcW w:w="1350" w:type="dxa"/>
            <w:vAlign w:val="center"/>
          </w:tcPr>
          <w:p w14:paraId="48EA6A6D" w14:textId="77777777" w:rsidR="000C4FC3" w:rsidRPr="00D63D88" w:rsidRDefault="000C4FC3" w:rsidP="000C4FC3">
            <w:pPr>
              <w:rPr>
                <w:sz w:val="20"/>
                <w:szCs w:val="20"/>
              </w:rPr>
            </w:pPr>
            <w:r>
              <w:rPr>
                <w:sz w:val="20"/>
                <w:szCs w:val="20"/>
              </w:rPr>
              <w:t xml:space="preserve">n/a </w:t>
            </w:r>
            <w:r>
              <w:rPr>
                <w:rStyle w:val="FootnoteReference"/>
                <w:sz w:val="20"/>
                <w:szCs w:val="20"/>
              </w:rPr>
              <w:footnoteReference w:id="14"/>
            </w:r>
          </w:p>
        </w:tc>
        <w:tc>
          <w:tcPr>
            <w:tcW w:w="1350" w:type="dxa"/>
            <w:vAlign w:val="center"/>
          </w:tcPr>
          <w:p w14:paraId="6401AE23" w14:textId="77777777" w:rsidR="000C4FC3" w:rsidRPr="00D63D88" w:rsidRDefault="000C4FC3" w:rsidP="000C4FC3">
            <w:pPr>
              <w:rPr>
                <w:sz w:val="20"/>
                <w:szCs w:val="20"/>
              </w:rPr>
            </w:pPr>
            <w:r>
              <w:rPr>
                <w:sz w:val="20"/>
                <w:szCs w:val="20"/>
              </w:rPr>
              <w:t xml:space="preserve">n/a </w:t>
            </w:r>
            <w:r>
              <w:rPr>
                <w:rStyle w:val="FootnoteReference"/>
                <w:sz w:val="20"/>
                <w:szCs w:val="20"/>
              </w:rPr>
              <w:footnoteReference w:id="15"/>
            </w:r>
          </w:p>
        </w:tc>
        <w:tc>
          <w:tcPr>
            <w:tcW w:w="1350" w:type="dxa"/>
            <w:vAlign w:val="center"/>
          </w:tcPr>
          <w:p w14:paraId="2F826D0D" w14:textId="77777777" w:rsidR="000C4FC3" w:rsidRDefault="000C4FC3" w:rsidP="000C4FC3">
            <w:pPr>
              <w:rPr>
                <w:sz w:val="20"/>
                <w:szCs w:val="20"/>
                <w:vertAlign w:val="superscript"/>
              </w:rPr>
            </w:pPr>
            <w:proofErr w:type="gramStart"/>
            <w:r>
              <w:rPr>
                <w:sz w:val="20"/>
                <w:szCs w:val="20"/>
              </w:rPr>
              <w:t>Any one</w:t>
            </w:r>
            <w:proofErr w:type="gramEnd"/>
            <w:r>
              <w:rPr>
                <w:sz w:val="20"/>
                <w:szCs w:val="20"/>
              </w:rPr>
              <w:t xml:space="preserve"> building limited to 3,200 m</w:t>
            </w:r>
            <w:r w:rsidRPr="00D63D88">
              <w:rPr>
                <w:sz w:val="20"/>
                <w:szCs w:val="20"/>
                <w:vertAlign w:val="superscript"/>
              </w:rPr>
              <w:t>2</w:t>
            </w:r>
          </w:p>
          <w:p w14:paraId="399E5A9F" w14:textId="77777777" w:rsidR="000C4FC3" w:rsidRPr="00C74809" w:rsidRDefault="000C4FC3" w:rsidP="000C4FC3">
            <w:pPr>
              <w:rPr>
                <w:sz w:val="20"/>
                <w:szCs w:val="20"/>
              </w:rPr>
            </w:pPr>
          </w:p>
          <w:p w14:paraId="0B0769DF" w14:textId="77777777" w:rsidR="000C4FC3" w:rsidRPr="00D63D88" w:rsidRDefault="000C4FC3" w:rsidP="000C4FC3">
            <w:pPr>
              <w:rPr>
                <w:sz w:val="20"/>
                <w:szCs w:val="20"/>
              </w:rPr>
            </w:pPr>
            <w:r w:rsidRPr="00C74809">
              <w:rPr>
                <w:sz w:val="20"/>
                <w:szCs w:val="20"/>
              </w:rPr>
              <w:t>No minimum parcel size</w:t>
            </w:r>
          </w:p>
        </w:tc>
        <w:tc>
          <w:tcPr>
            <w:tcW w:w="2790" w:type="dxa"/>
            <w:vAlign w:val="center"/>
          </w:tcPr>
          <w:p w14:paraId="367536E7" w14:textId="77777777" w:rsidR="000C4FC3" w:rsidRDefault="000C4FC3" w:rsidP="000C4FC3">
            <w:pPr>
              <w:rPr>
                <w:sz w:val="20"/>
                <w:szCs w:val="20"/>
              </w:rPr>
            </w:pPr>
            <w:r>
              <w:rPr>
                <w:sz w:val="20"/>
                <w:szCs w:val="20"/>
              </w:rPr>
              <w:t>Retail sales and tasting area within the winery building</w:t>
            </w:r>
          </w:p>
          <w:p w14:paraId="49C7F9CF" w14:textId="77777777" w:rsidR="000C4FC3" w:rsidRDefault="000C4FC3" w:rsidP="000C4FC3">
            <w:pPr>
              <w:rPr>
                <w:sz w:val="20"/>
                <w:szCs w:val="20"/>
              </w:rPr>
            </w:pPr>
          </w:p>
          <w:p w14:paraId="17C75564" w14:textId="77777777" w:rsidR="000C4FC3" w:rsidRDefault="000C4FC3" w:rsidP="000C4FC3">
            <w:pPr>
              <w:rPr>
                <w:sz w:val="20"/>
                <w:szCs w:val="20"/>
              </w:rPr>
            </w:pPr>
            <w:r>
              <w:rPr>
                <w:sz w:val="20"/>
                <w:szCs w:val="20"/>
              </w:rPr>
              <w:t>The sale of gift and promotional products within the retail sales and tasting area, relating to wine and grape industry, or other local agricultural products</w:t>
            </w:r>
          </w:p>
          <w:p w14:paraId="552392FA" w14:textId="77777777" w:rsidR="000C4FC3" w:rsidRDefault="000C4FC3" w:rsidP="000C4FC3">
            <w:pPr>
              <w:rPr>
                <w:sz w:val="20"/>
                <w:szCs w:val="20"/>
              </w:rPr>
            </w:pPr>
          </w:p>
        </w:tc>
        <w:tc>
          <w:tcPr>
            <w:tcW w:w="1350" w:type="dxa"/>
            <w:vAlign w:val="center"/>
          </w:tcPr>
          <w:p w14:paraId="50CA5CC2" w14:textId="77777777" w:rsidR="000C4FC3" w:rsidRDefault="000C4FC3" w:rsidP="000C4FC3">
            <w:pPr>
              <w:rPr>
                <w:sz w:val="20"/>
                <w:szCs w:val="20"/>
              </w:rPr>
            </w:pPr>
            <w:r>
              <w:rPr>
                <w:sz w:val="20"/>
                <w:szCs w:val="20"/>
              </w:rPr>
              <w:t>n/a</w:t>
            </w:r>
          </w:p>
        </w:tc>
        <w:tc>
          <w:tcPr>
            <w:tcW w:w="1350" w:type="dxa"/>
            <w:vAlign w:val="center"/>
          </w:tcPr>
          <w:p w14:paraId="7E555371" w14:textId="77777777" w:rsidR="000C4FC3" w:rsidRDefault="000C4FC3" w:rsidP="000C4FC3">
            <w:pPr>
              <w:rPr>
                <w:sz w:val="20"/>
                <w:szCs w:val="20"/>
              </w:rPr>
            </w:pPr>
            <w:r>
              <w:rPr>
                <w:sz w:val="20"/>
                <w:szCs w:val="20"/>
              </w:rPr>
              <w:t>Limited to 2% of lot area, to a maximum of 10,000 m</w:t>
            </w:r>
            <w:r w:rsidRPr="00D63D88">
              <w:rPr>
                <w:sz w:val="20"/>
                <w:szCs w:val="20"/>
                <w:vertAlign w:val="superscript"/>
              </w:rPr>
              <w:t>2</w:t>
            </w:r>
            <w:r>
              <w:rPr>
                <w:sz w:val="20"/>
                <w:szCs w:val="20"/>
              </w:rPr>
              <w:t xml:space="preserve"> </w:t>
            </w:r>
          </w:p>
          <w:p w14:paraId="2A6F1581" w14:textId="77777777" w:rsidR="000C4FC3" w:rsidRDefault="000C4FC3" w:rsidP="000C4FC3">
            <w:pPr>
              <w:rPr>
                <w:sz w:val="20"/>
                <w:szCs w:val="20"/>
              </w:rPr>
            </w:pPr>
          </w:p>
          <w:p w14:paraId="0298CEA8" w14:textId="77777777" w:rsidR="000C4FC3" w:rsidRPr="00D63D88" w:rsidRDefault="000C4FC3" w:rsidP="000C4FC3">
            <w:pPr>
              <w:rPr>
                <w:sz w:val="20"/>
                <w:szCs w:val="20"/>
              </w:rPr>
            </w:pPr>
            <w:r>
              <w:rPr>
                <w:sz w:val="20"/>
                <w:szCs w:val="20"/>
              </w:rPr>
              <w:t xml:space="preserve">Buildings limited to 20% of the 2% </w:t>
            </w:r>
          </w:p>
        </w:tc>
        <w:tc>
          <w:tcPr>
            <w:tcW w:w="1080" w:type="dxa"/>
            <w:vAlign w:val="center"/>
          </w:tcPr>
          <w:p w14:paraId="3B3CBFE0" w14:textId="77777777" w:rsidR="000C4FC3" w:rsidRPr="00D63D88" w:rsidRDefault="000C4FC3" w:rsidP="000C4FC3">
            <w:pPr>
              <w:rPr>
                <w:sz w:val="20"/>
                <w:szCs w:val="20"/>
              </w:rPr>
            </w:pPr>
            <w:proofErr w:type="gramStart"/>
            <w:r>
              <w:rPr>
                <w:sz w:val="20"/>
                <w:szCs w:val="20"/>
              </w:rPr>
              <w:t>Any one</w:t>
            </w:r>
            <w:proofErr w:type="gramEnd"/>
            <w:r>
              <w:rPr>
                <w:sz w:val="20"/>
                <w:szCs w:val="20"/>
              </w:rPr>
              <w:t xml:space="preserve"> building limited to 3,200 m</w:t>
            </w:r>
            <w:r w:rsidRPr="00D63D88">
              <w:rPr>
                <w:sz w:val="20"/>
                <w:szCs w:val="20"/>
                <w:vertAlign w:val="superscript"/>
              </w:rPr>
              <w:t>2</w:t>
            </w:r>
          </w:p>
        </w:tc>
        <w:tc>
          <w:tcPr>
            <w:tcW w:w="1301" w:type="dxa"/>
          </w:tcPr>
          <w:p w14:paraId="44A2F14C" w14:textId="6FE2A7B7" w:rsidR="000C4FC3" w:rsidRDefault="003A5A2B" w:rsidP="000C4FC3">
            <w:pPr>
              <w:rPr>
                <w:sz w:val="20"/>
                <w:szCs w:val="20"/>
              </w:rPr>
            </w:pPr>
            <w:r>
              <w:rPr>
                <w:sz w:val="20"/>
                <w:szCs w:val="20"/>
              </w:rPr>
              <w:t xml:space="preserve">Flexibility in time limit </w:t>
            </w:r>
            <w:r w:rsidR="004E5B42">
              <w:rPr>
                <w:sz w:val="20"/>
                <w:szCs w:val="20"/>
              </w:rPr>
              <w:t>of Permit</w:t>
            </w:r>
            <w:r>
              <w:rPr>
                <w:sz w:val="20"/>
                <w:szCs w:val="20"/>
              </w:rPr>
              <w:t>.</w:t>
            </w:r>
          </w:p>
          <w:p w14:paraId="0A9A292C" w14:textId="77777777" w:rsidR="003A5A2B" w:rsidRDefault="003A5A2B" w:rsidP="000C4FC3">
            <w:pPr>
              <w:rPr>
                <w:sz w:val="20"/>
                <w:szCs w:val="20"/>
              </w:rPr>
            </w:pPr>
          </w:p>
          <w:p w14:paraId="128E32D7" w14:textId="4231C8FE" w:rsidR="003A5A2B" w:rsidRDefault="003A5A2B" w:rsidP="000C4FC3">
            <w:pPr>
              <w:rPr>
                <w:sz w:val="20"/>
                <w:szCs w:val="20"/>
              </w:rPr>
            </w:pPr>
            <w:r>
              <w:rPr>
                <w:sz w:val="20"/>
                <w:szCs w:val="20"/>
              </w:rPr>
              <w:t>No requirement for farmer to live on farm.</w:t>
            </w:r>
          </w:p>
        </w:tc>
      </w:tr>
      <w:bookmarkEnd w:id="2"/>
    </w:tbl>
    <w:p w14:paraId="3FB7226E" w14:textId="77777777" w:rsidR="000C4FC3" w:rsidRDefault="000C4FC3" w:rsidP="000C4FC3">
      <w:pPr>
        <w:sectPr w:rsidR="000C4FC3" w:rsidSect="00BB6083">
          <w:pgSz w:w="15840" w:h="12240" w:orient="landscape" w:code="1"/>
          <w:pgMar w:top="709" w:right="1440" w:bottom="993" w:left="1440" w:header="709" w:footer="709" w:gutter="0"/>
          <w:cols w:space="708"/>
          <w:docGrid w:linePitch="360"/>
        </w:sectPr>
      </w:pPr>
    </w:p>
    <w:p w14:paraId="71C51B5D" w14:textId="3B3686B2" w:rsidR="0078718D" w:rsidRPr="009C42A4" w:rsidRDefault="0078718D" w:rsidP="003C08CC"/>
    <w:sectPr w:rsidR="0078718D" w:rsidRPr="009C42A4" w:rsidSect="00A63390">
      <w:pgSz w:w="15840" w:h="12240" w:orient="landscape" w:code="1"/>
      <w:pgMar w:top="709"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FC938" w14:textId="77777777" w:rsidR="00F3588C" w:rsidRDefault="00F3588C" w:rsidP="00F72078">
      <w:pPr>
        <w:spacing w:after="0" w:line="240" w:lineRule="auto"/>
      </w:pPr>
      <w:r>
        <w:separator/>
      </w:r>
    </w:p>
  </w:endnote>
  <w:endnote w:type="continuationSeparator" w:id="0">
    <w:p w14:paraId="541E2016" w14:textId="77777777" w:rsidR="00F3588C" w:rsidRDefault="00F3588C"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54E6C" w14:textId="77777777" w:rsidR="003D2855" w:rsidRDefault="003D28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6014128"/>
      <w:docPartObj>
        <w:docPartGallery w:val="Page Numbers (Bottom of Page)"/>
        <w:docPartUnique/>
      </w:docPartObj>
    </w:sdtPr>
    <w:sdtEndPr>
      <w:rPr>
        <w:noProof/>
      </w:rPr>
    </w:sdtEndPr>
    <w:sdtContent>
      <w:p w14:paraId="6B7C5AE0" w14:textId="3C0D48EE" w:rsidR="00BC7C86" w:rsidRDefault="00BC7C8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5420D5" w14:textId="77777777" w:rsidR="00BC7C86" w:rsidRDefault="00BC7C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1281906"/>
      <w:docPartObj>
        <w:docPartGallery w:val="Page Numbers (Bottom of Page)"/>
        <w:docPartUnique/>
      </w:docPartObj>
    </w:sdtPr>
    <w:sdtEndPr>
      <w:rPr>
        <w:noProof/>
      </w:rPr>
    </w:sdtEndPr>
    <w:sdtContent>
      <w:p w14:paraId="2C4C54F4" w14:textId="1F7039FB" w:rsidR="00BC7C86" w:rsidRDefault="00BC7C8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236E23" w14:textId="0ACB175F" w:rsidR="00BC7C86" w:rsidRPr="00E16EFC" w:rsidRDefault="00BC7C86" w:rsidP="00E16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003766" w14:textId="77777777" w:rsidR="00F3588C" w:rsidRDefault="00F3588C" w:rsidP="00F72078">
      <w:pPr>
        <w:spacing w:after="0" w:line="240" w:lineRule="auto"/>
      </w:pPr>
      <w:r>
        <w:separator/>
      </w:r>
    </w:p>
  </w:footnote>
  <w:footnote w:type="continuationSeparator" w:id="0">
    <w:p w14:paraId="46934A62" w14:textId="77777777" w:rsidR="00F3588C" w:rsidRDefault="00F3588C" w:rsidP="00F72078">
      <w:pPr>
        <w:spacing w:after="0" w:line="240" w:lineRule="auto"/>
      </w:pPr>
      <w:r>
        <w:continuationSeparator/>
      </w:r>
    </w:p>
  </w:footnote>
  <w:footnote w:id="1">
    <w:p w14:paraId="328CFD9D" w14:textId="32676020" w:rsidR="00BC7C86" w:rsidRPr="00525267" w:rsidRDefault="00BC7C86" w:rsidP="001662DC">
      <w:pPr>
        <w:pStyle w:val="FootnoteText"/>
        <w:rPr>
          <w:sz w:val="18"/>
          <w:szCs w:val="18"/>
          <w:lang w:val="en-US"/>
        </w:rPr>
      </w:pPr>
      <w:r>
        <w:rPr>
          <w:rStyle w:val="FootnoteReference"/>
        </w:rPr>
        <w:footnoteRef/>
      </w:r>
      <w:r>
        <w:t xml:space="preserve"> </w:t>
      </w:r>
      <w:r w:rsidRPr="00525267">
        <w:rPr>
          <w:sz w:val="18"/>
          <w:szCs w:val="18"/>
          <w:lang w:val="en-US"/>
        </w:rPr>
        <w:t xml:space="preserve">Policy Guideline development for </w:t>
      </w:r>
      <w:r>
        <w:rPr>
          <w:sz w:val="18"/>
          <w:szCs w:val="18"/>
          <w:lang w:val="en-US"/>
        </w:rPr>
        <w:t>the topic of “A</w:t>
      </w:r>
      <w:r w:rsidRPr="00525267">
        <w:rPr>
          <w:sz w:val="18"/>
          <w:szCs w:val="18"/>
          <w:lang w:val="en-US"/>
        </w:rPr>
        <w:t>ccessory uses</w:t>
      </w:r>
      <w:r>
        <w:rPr>
          <w:sz w:val="18"/>
          <w:szCs w:val="18"/>
          <w:lang w:val="en-US"/>
        </w:rPr>
        <w:t>/facilities</w:t>
      </w:r>
      <w:r w:rsidRPr="00525267">
        <w:rPr>
          <w:sz w:val="18"/>
          <w:szCs w:val="18"/>
          <w:lang w:val="en-US"/>
        </w:rPr>
        <w:t xml:space="preserve"> to single dwellings</w:t>
      </w:r>
      <w:r>
        <w:rPr>
          <w:sz w:val="18"/>
          <w:szCs w:val="18"/>
          <w:lang w:val="en-US"/>
        </w:rPr>
        <w:t>”</w:t>
      </w:r>
      <w:r w:rsidRPr="00525267">
        <w:rPr>
          <w:sz w:val="18"/>
          <w:szCs w:val="18"/>
          <w:lang w:val="en-US"/>
        </w:rPr>
        <w:t xml:space="preserve"> has also been </w:t>
      </w:r>
      <w:r>
        <w:rPr>
          <w:sz w:val="18"/>
          <w:szCs w:val="18"/>
          <w:lang w:val="en-US"/>
        </w:rPr>
        <w:t>temporarily paused</w:t>
      </w:r>
      <w:r w:rsidRPr="00525267">
        <w:rPr>
          <w:sz w:val="18"/>
          <w:szCs w:val="18"/>
          <w:lang w:val="en-US"/>
        </w:rPr>
        <w:t>, in order that stakeholder consultation can be undertaken in a comprehensive and coordinated approach, together with the other policy guideline theme areas</w:t>
      </w:r>
      <w:r>
        <w:rPr>
          <w:sz w:val="18"/>
          <w:szCs w:val="18"/>
          <w:lang w:val="en-US"/>
        </w:rPr>
        <w:t xml:space="preserve"> that are identified to remain in development</w:t>
      </w:r>
      <w:r w:rsidRPr="00525267">
        <w:rPr>
          <w:sz w:val="18"/>
          <w:szCs w:val="18"/>
          <w:lang w:val="en-US"/>
        </w:rPr>
        <w:t>.</w:t>
      </w:r>
    </w:p>
  </w:footnote>
  <w:footnote w:id="2">
    <w:p w14:paraId="243727B8" w14:textId="2F72BD0D" w:rsidR="00BC7C86" w:rsidRPr="00662AF0" w:rsidRDefault="00BC7C86">
      <w:pPr>
        <w:pStyle w:val="FootnoteText"/>
        <w:rPr>
          <w:lang w:val="en-US"/>
        </w:rPr>
      </w:pPr>
      <w:r>
        <w:rPr>
          <w:rStyle w:val="FootnoteReference"/>
        </w:rPr>
        <w:footnoteRef/>
      </w:r>
      <w:r>
        <w:t xml:space="preserve"> </w:t>
      </w:r>
      <w:r w:rsidRPr="00662AF0">
        <w:rPr>
          <w:lang w:val="en-US"/>
        </w:rPr>
        <w:t>Does not include exemptions issued under Ontario Regulation 828/90.</w:t>
      </w:r>
    </w:p>
  </w:footnote>
  <w:footnote w:id="3">
    <w:p w14:paraId="0FF6F67B" w14:textId="2285E86D" w:rsidR="00BC7C86" w:rsidRPr="00662AF0" w:rsidRDefault="00BC7C86">
      <w:pPr>
        <w:pStyle w:val="FootnoteText"/>
        <w:rPr>
          <w:lang w:val="en-US"/>
        </w:rPr>
      </w:pPr>
      <w:r w:rsidRPr="00662AF0">
        <w:rPr>
          <w:rStyle w:val="FootnoteReference"/>
        </w:rPr>
        <w:footnoteRef/>
      </w:r>
      <w:r w:rsidRPr="00662AF0">
        <w:t xml:space="preserve"> </w:t>
      </w:r>
      <w:r w:rsidRPr="00662AF0">
        <w:rPr>
          <w:lang w:val="en-US"/>
        </w:rPr>
        <w:t>Includes those DPAs that are in abeyance/additional information has been requested.</w:t>
      </w:r>
    </w:p>
  </w:footnote>
  <w:footnote w:id="4">
    <w:p w14:paraId="72C75598" w14:textId="3DA89E57" w:rsidR="00BC7C86" w:rsidRPr="00662AF0" w:rsidRDefault="00BC7C86" w:rsidP="002D1CDF">
      <w:pPr>
        <w:pStyle w:val="FootnoteText"/>
        <w:rPr>
          <w:lang w:val="en-US"/>
        </w:rPr>
      </w:pPr>
      <w:r w:rsidRPr="00662AF0">
        <w:rPr>
          <w:rStyle w:val="FootnoteReference"/>
        </w:rPr>
        <w:footnoteRef/>
      </w:r>
      <w:r w:rsidRPr="00662AF0">
        <w:t xml:space="preserve"> </w:t>
      </w:r>
      <w:r w:rsidRPr="00662AF0">
        <w:rPr>
          <w:lang w:val="en-US"/>
        </w:rPr>
        <w:t>DPA N/A/2019-2020/317 was refused by the Commission on the basis that the proposal presented an agricultural use established for the purposes of permitting an institutional operation as an OFDU. Municipality did not support, did not meet PPS or</w:t>
      </w:r>
      <w:r>
        <w:rPr>
          <w:lang w:val="en-US"/>
        </w:rPr>
        <w:t xml:space="preserve"> the Ontario Ministry of Agricultural, Food and Rural Affairs (OMAFRA)</w:t>
      </w:r>
      <w:r w:rsidRPr="00662AF0">
        <w:rPr>
          <w:lang w:val="en-US"/>
        </w:rPr>
        <w:t xml:space="preserve"> </w:t>
      </w:r>
      <w:r w:rsidRPr="00373B1A">
        <w:rPr>
          <w:i/>
          <w:iCs/>
          <w:lang w:val="en-US"/>
        </w:rPr>
        <w:t>Guidelines on Permitted Uses in Prime Agricultural Areas</w:t>
      </w:r>
      <w:r w:rsidRPr="00662AF0">
        <w:rPr>
          <w:lang w:val="en-US"/>
        </w:rPr>
        <w:t xml:space="preserve">. </w:t>
      </w:r>
    </w:p>
    <w:p w14:paraId="15B7961E" w14:textId="642BA8A5" w:rsidR="00BC7C86" w:rsidRPr="00FC2EC1" w:rsidRDefault="00BC7C86">
      <w:pPr>
        <w:pStyle w:val="FootnoteText"/>
        <w:rPr>
          <w:sz w:val="18"/>
          <w:szCs w:val="18"/>
          <w:lang w:val="en-US"/>
        </w:rPr>
      </w:pPr>
    </w:p>
  </w:footnote>
  <w:footnote w:id="5">
    <w:p w14:paraId="3A08AD04" w14:textId="39AFF46B" w:rsidR="00BC7C86" w:rsidRPr="00010541" w:rsidRDefault="00BC7C86">
      <w:pPr>
        <w:pStyle w:val="FootnoteText"/>
        <w:rPr>
          <w:lang w:val="en-US"/>
        </w:rPr>
      </w:pPr>
      <w:r>
        <w:rPr>
          <w:rStyle w:val="FootnoteReference"/>
        </w:rPr>
        <w:footnoteRef/>
      </w:r>
      <w:r>
        <w:t xml:space="preserve"> </w:t>
      </w:r>
      <w:r>
        <w:rPr>
          <w:lang w:val="en-US"/>
        </w:rPr>
        <w:t>This number does not account for the inquiries that do not proceed to DPAs after being informed use was not permitted.</w:t>
      </w:r>
    </w:p>
  </w:footnote>
  <w:footnote w:id="6">
    <w:p w14:paraId="369D3673" w14:textId="11E4948C" w:rsidR="00BC7C86" w:rsidRPr="00082599" w:rsidRDefault="00BC7C86">
      <w:pPr>
        <w:pStyle w:val="FootnoteText"/>
        <w:rPr>
          <w:lang w:val="en-US"/>
        </w:rPr>
      </w:pPr>
      <w:r>
        <w:rPr>
          <w:rStyle w:val="FootnoteReference"/>
        </w:rPr>
        <w:footnoteRef/>
      </w:r>
      <w:r>
        <w:t xml:space="preserve"> Ontario Ministry of Agricultural, Food and Rural Affairs. 2020. </w:t>
      </w:r>
      <w:r>
        <w:rPr>
          <w:lang w:val="en-US"/>
        </w:rPr>
        <w:t>Implementation Procedures for the Agricultural System in Ontario’s Greater Golden Horseshoe. Supplementary Direction to A Place to Grow: Growth Plan for the Greater Golden Horseshoe. Queen’s Printer for Ontario. Toronto, ON. Publication 856.</w:t>
      </w:r>
    </w:p>
  </w:footnote>
  <w:footnote w:id="7">
    <w:p w14:paraId="4DE5FC31" w14:textId="7AB1A6C8" w:rsidR="00BC7C86" w:rsidRPr="00902CFE" w:rsidRDefault="00BC7C86">
      <w:pPr>
        <w:pStyle w:val="FootnoteText"/>
        <w:rPr>
          <w:lang w:val="en-US"/>
        </w:rPr>
      </w:pPr>
      <w:r>
        <w:rPr>
          <w:rStyle w:val="FootnoteReference"/>
        </w:rPr>
        <w:footnoteRef/>
      </w:r>
      <w:r>
        <w:t xml:space="preserve"> </w:t>
      </w:r>
      <w:r>
        <w:rPr>
          <w:lang w:val="en-US"/>
        </w:rPr>
        <w:t xml:space="preserve">Staff notes that this does not account for those DPAs which do not proceed to a decision and are withdrawn, or those DPAs which have undergone modifications to the original proposal (i.e., the full scope of development proposed could not be supported under current NEP policy). </w:t>
      </w:r>
    </w:p>
  </w:footnote>
  <w:footnote w:id="8">
    <w:p w14:paraId="35F8AB5F" w14:textId="1D4F497B" w:rsidR="00BC7C86" w:rsidRPr="002E0355" w:rsidRDefault="00BC7C86">
      <w:pPr>
        <w:pStyle w:val="FootnoteText"/>
        <w:rPr>
          <w:sz w:val="16"/>
          <w:szCs w:val="16"/>
          <w:lang w:val="en-US"/>
        </w:rPr>
      </w:pPr>
      <w:r w:rsidRPr="002E0355">
        <w:rPr>
          <w:rStyle w:val="FootnoteReference"/>
          <w:sz w:val="16"/>
          <w:szCs w:val="16"/>
        </w:rPr>
        <w:footnoteRef/>
      </w:r>
      <w:r w:rsidRPr="002E0355">
        <w:rPr>
          <w:sz w:val="16"/>
          <w:szCs w:val="16"/>
        </w:rPr>
        <w:t xml:space="preserve"> </w:t>
      </w:r>
      <w:r w:rsidRPr="002E0355">
        <w:rPr>
          <w:sz w:val="16"/>
          <w:szCs w:val="16"/>
          <w:lang w:val="en-US"/>
        </w:rPr>
        <w:t>Halton Region is currently addressing these challenges through their OP Review process and have recently released a Technical memorandum – Woodland Discussion, September 2021. NEC staff have been consulted and are participating in the review.</w:t>
      </w:r>
    </w:p>
  </w:footnote>
  <w:footnote w:id="9">
    <w:p w14:paraId="42BFF803" w14:textId="2914AF66" w:rsidR="00BC7C86" w:rsidRPr="00A04BDA" w:rsidRDefault="00BC7C86">
      <w:pPr>
        <w:pStyle w:val="FootnoteText"/>
        <w:rPr>
          <w:lang w:val="en-US"/>
        </w:rPr>
      </w:pPr>
      <w:r>
        <w:rPr>
          <w:rStyle w:val="FootnoteReference"/>
        </w:rPr>
        <w:footnoteRef/>
      </w:r>
      <w:r>
        <w:t xml:space="preserve"> </w:t>
      </w:r>
      <w:r>
        <w:rPr>
          <w:lang w:val="en-US"/>
        </w:rPr>
        <w:t xml:space="preserve">Wayne Caldwell, Pam </w:t>
      </w:r>
      <w:proofErr w:type="spellStart"/>
      <w:r>
        <w:rPr>
          <w:lang w:val="en-US"/>
        </w:rPr>
        <w:t>Duesling</w:t>
      </w:r>
      <w:proofErr w:type="spellEnd"/>
      <w:r>
        <w:rPr>
          <w:lang w:val="en-US"/>
        </w:rPr>
        <w:t xml:space="preserve">, &amp; Emily Sousa, School of Environmental Design and Rural Development, University of Waterloo. Presentation to the NEC. October 2021. </w:t>
      </w:r>
    </w:p>
  </w:footnote>
  <w:footnote w:id="10">
    <w:p w14:paraId="268DC264" w14:textId="77777777" w:rsidR="00BC7C86" w:rsidRDefault="00BC7C86" w:rsidP="00217122">
      <w:pPr>
        <w:pStyle w:val="FootnoteText"/>
      </w:pPr>
      <w:r>
        <w:rPr>
          <w:rStyle w:val="FootnoteReference"/>
        </w:rPr>
        <w:footnoteRef/>
      </w:r>
      <w:r>
        <w:t xml:space="preserve"> Permitted in all 2005 and 2017 NEP land use designations. Only existing agricultural uses are permitted in Escarpment Natural Area.</w:t>
      </w:r>
    </w:p>
  </w:footnote>
  <w:footnote w:id="11">
    <w:p w14:paraId="27673CEA" w14:textId="77777777" w:rsidR="00BC7C86" w:rsidRDefault="00BC7C86" w:rsidP="00217122">
      <w:pPr>
        <w:pStyle w:val="FootnoteText"/>
      </w:pPr>
      <w:r>
        <w:rPr>
          <w:rStyle w:val="FootnoteReference"/>
        </w:rPr>
        <w:footnoteRef/>
      </w:r>
      <w:r>
        <w:t xml:space="preserve"> Permitted in Escarpment Protection Area and Escarpment Rural Area (2005).</w:t>
      </w:r>
    </w:p>
  </w:footnote>
  <w:footnote w:id="12">
    <w:p w14:paraId="3E989488" w14:textId="77777777" w:rsidR="00BC7C86" w:rsidRDefault="00BC7C86" w:rsidP="00217122">
      <w:pPr>
        <w:pStyle w:val="FootnoteText"/>
      </w:pPr>
      <w:r>
        <w:rPr>
          <w:rStyle w:val="FootnoteReference"/>
        </w:rPr>
        <w:footnoteRef/>
      </w:r>
      <w:r>
        <w:t xml:space="preserve"> Permitted in Escarpment Rural Area, but only outside of prime agricultural areas and specialty crop areas (2005).</w:t>
      </w:r>
    </w:p>
  </w:footnote>
  <w:footnote w:id="13">
    <w:p w14:paraId="7E86EFBB" w14:textId="77777777" w:rsidR="00BC7C86" w:rsidRDefault="00BC7C86" w:rsidP="00217122">
      <w:pPr>
        <w:pStyle w:val="FootnoteText"/>
      </w:pPr>
      <w:r>
        <w:rPr>
          <w:rStyle w:val="FootnoteReference"/>
        </w:rPr>
        <w:footnoteRef/>
      </w:r>
      <w:r>
        <w:t xml:space="preserve"> Wineries/cideries are permitted as both agriculture-related uses and on-farm diversified use, but in both cases must be on a farm (2017).</w:t>
      </w:r>
    </w:p>
  </w:footnote>
  <w:footnote w:id="14">
    <w:p w14:paraId="19A7E055" w14:textId="77777777" w:rsidR="00BC7C86" w:rsidRDefault="00BC7C86" w:rsidP="00217122">
      <w:pPr>
        <w:pStyle w:val="FootnoteText"/>
      </w:pPr>
      <w:r>
        <w:rPr>
          <w:rStyle w:val="FootnoteReference"/>
        </w:rPr>
        <w:footnoteRef/>
      </w:r>
      <w:r>
        <w:t xml:space="preserve"> In the 2017 NEP, these uses would now be considered agriculture-related uses or on-farm diversified uses.</w:t>
      </w:r>
    </w:p>
  </w:footnote>
  <w:footnote w:id="15">
    <w:p w14:paraId="3848754D" w14:textId="0B96E0FC" w:rsidR="00BC7C86" w:rsidRDefault="00BC7C86" w:rsidP="00217122">
      <w:pPr>
        <w:pStyle w:val="FootnoteText"/>
      </w:pPr>
      <w:r>
        <w:rPr>
          <w:rStyle w:val="FootnoteReference"/>
        </w:rPr>
        <w:footnoteRef/>
      </w:r>
      <w:r>
        <w:t xml:space="preserve"> In the 2017 NEP, commercial and industrial development servicing agriculture would be considered an agriculture-related uses</w:t>
      </w:r>
      <w:r w:rsidR="003C6EF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F1706" w14:textId="77777777" w:rsidR="003D2855" w:rsidRDefault="003D28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41E28" w14:textId="77777777" w:rsidR="003D2855" w:rsidRDefault="003D28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38AA1" w14:textId="77777777" w:rsidR="00BC7C86" w:rsidRPr="0035152F" w:rsidRDefault="00BC7C86" w:rsidP="00BB6083">
    <w:pPr>
      <w:pStyle w:val="Heading1"/>
      <w:jc w:val="left"/>
      <w:rPr>
        <w:rFonts w:asciiTheme="minorHAnsi" w:hAnsiTheme="minorHAnsi" w:cstheme="minorHAnsi"/>
        <w:sz w:val="24"/>
        <w:szCs w:val="24"/>
      </w:rPr>
    </w:pPr>
    <w:r w:rsidRPr="0035152F">
      <w:rPr>
        <w:rFonts w:asciiTheme="minorHAnsi" w:hAnsiTheme="minorHAnsi" w:cstheme="minorHAnsi"/>
        <w:noProof/>
        <w:sz w:val="24"/>
        <w:szCs w:val="24"/>
        <w:lang w:eastAsia="en-CA"/>
      </w:rPr>
      <w:drawing>
        <wp:anchor distT="0" distB="0" distL="114300" distR="114300" simplePos="0" relativeHeight="251658240" behindDoc="1" locked="0" layoutInCell="1" allowOverlap="1" wp14:anchorId="69E24A9D" wp14:editId="29556ABD">
          <wp:simplePos x="0" y="0"/>
          <wp:positionH relativeFrom="column">
            <wp:posOffset>4147820</wp:posOffset>
          </wp:positionH>
          <wp:positionV relativeFrom="paragraph">
            <wp:posOffset>243840</wp:posOffset>
          </wp:positionV>
          <wp:extent cx="2317115" cy="850900"/>
          <wp:effectExtent l="0" t="0" r="6985" b="6350"/>
          <wp:wrapTight wrapText="bothSides">
            <wp:wrapPolygon edited="0">
              <wp:start x="0" y="0"/>
              <wp:lineTo x="0" y="21278"/>
              <wp:lineTo x="21488" y="21278"/>
              <wp:lineTo x="21488" y="0"/>
              <wp:lineTo x="0" y="0"/>
            </wp:wrapPolygon>
          </wp:wrapTight>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ark new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7115" cy="850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152F">
      <w:rPr>
        <w:rFonts w:asciiTheme="minorHAnsi" w:hAnsiTheme="minorHAnsi" w:cstheme="minorHAnsi"/>
        <w:sz w:val="24"/>
        <w:szCs w:val="24"/>
      </w:rPr>
      <w:t>Niagara Escarpment Commission</w:t>
    </w:r>
  </w:p>
  <w:p w14:paraId="10AA21E0" w14:textId="77777777" w:rsidR="00BC7C86" w:rsidRDefault="00BC7C86" w:rsidP="00BB6083">
    <w:pPr>
      <w:pStyle w:val="Header"/>
      <w:rPr>
        <w:rFonts w:cstheme="minorHAnsi"/>
        <w:szCs w:val="24"/>
      </w:rPr>
    </w:pPr>
    <w:r w:rsidRPr="0035152F">
      <w:rPr>
        <w:rFonts w:cstheme="minorHAnsi"/>
        <w:szCs w:val="24"/>
      </w:rPr>
      <w:t xml:space="preserve">232 Guelph St. </w:t>
    </w:r>
    <w:r w:rsidRPr="0035152F">
      <w:rPr>
        <w:rFonts w:cstheme="minorHAnsi"/>
        <w:szCs w:val="24"/>
      </w:rPr>
      <w:br/>
      <w:t>Georgetown, ON L7G 4B1</w:t>
    </w:r>
    <w:r w:rsidRPr="0035152F">
      <w:rPr>
        <w:rFonts w:cstheme="minorHAnsi"/>
        <w:szCs w:val="24"/>
      </w:rPr>
      <w:br/>
      <w:t>Tel:  905-877-5191</w:t>
    </w:r>
    <w:r w:rsidRPr="0035152F">
      <w:rPr>
        <w:rFonts w:cstheme="minorHAnsi"/>
        <w:szCs w:val="24"/>
      </w:rPr>
      <w:br/>
    </w:r>
    <w:hyperlink r:id="rId2" w:history="1">
      <w:r w:rsidRPr="007D42AF">
        <w:rPr>
          <w:rStyle w:val="Hyperlink"/>
          <w:rFonts w:cstheme="minorHAnsi"/>
          <w:szCs w:val="24"/>
        </w:rPr>
        <w:t>www.escarpment.org</w:t>
      </w:r>
    </w:hyperlink>
    <w:r w:rsidRPr="0035152F">
      <w:rPr>
        <w:rFonts w:cstheme="minorHAnsi"/>
        <w:szCs w:val="24"/>
      </w:rPr>
      <w:softHyphen/>
    </w:r>
  </w:p>
  <w:p w14:paraId="4DAEDF91" w14:textId="77777777" w:rsidR="00BC7C86" w:rsidRDefault="00BC7C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E24CD"/>
    <w:multiLevelType w:val="hybridMultilevel"/>
    <w:tmpl w:val="8CCCF3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7090304"/>
    <w:multiLevelType w:val="hybridMultilevel"/>
    <w:tmpl w:val="A4DAAF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D07350"/>
    <w:multiLevelType w:val="hybridMultilevel"/>
    <w:tmpl w:val="E108A9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B086334"/>
    <w:multiLevelType w:val="hybridMultilevel"/>
    <w:tmpl w:val="DE0AE8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D8B38E2"/>
    <w:multiLevelType w:val="hybridMultilevel"/>
    <w:tmpl w:val="AFF002F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E737FD4"/>
    <w:multiLevelType w:val="hybridMultilevel"/>
    <w:tmpl w:val="06C02C64"/>
    <w:lvl w:ilvl="0" w:tplc="3C34FB5C">
      <w:start w:val="1"/>
      <w:numFmt w:val="lowerLetter"/>
      <w:lvlText w:val="%1)"/>
      <w:lvlJc w:val="left"/>
      <w:pPr>
        <w:ind w:left="720" w:hanging="360"/>
      </w:pPr>
      <w:rPr>
        <w:rFonts w:asciiTheme="minorHAnsi" w:hAnsiTheme="minorHAnsi" w:cstheme="minorBidi"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0302BFF"/>
    <w:multiLevelType w:val="hybridMultilevel"/>
    <w:tmpl w:val="E60ACFBC"/>
    <w:lvl w:ilvl="0" w:tplc="5624375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12151C5"/>
    <w:multiLevelType w:val="hybridMultilevel"/>
    <w:tmpl w:val="85D822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3501223"/>
    <w:multiLevelType w:val="hybridMultilevel"/>
    <w:tmpl w:val="9CF29C2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4A9463F"/>
    <w:multiLevelType w:val="hybridMultilevel"/>
    <w:tmpl w:val="1744D48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15080867"/>
    <w:multiLevelType w:val="hybridMultilevel"/>
    <w:tmpl w:val="9C422C72"/>
    <w:lvl w:ilvl="0" w:tplc="403CB606">
      <w:start w:val="1"/>
      <w:numFmt w:val="lowerLetter"/>
      <w:lvlText w:val="%1)"/>
      <w:lvlJc w:val="left"/>
      <w:pPr>
        <w:ind w:left="720" w:hanging="360"/>
      </w:pPr>
      <w:rPr>
        <w:rFonts w:hint="default"/>
        <w:color w:val="auto"/>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5690CBC"/>
    <w:multiLevelType w:val="hybridMultilevel"/>
    <w:tmpl w:val="5BEE5742"/>
    <w:lvl w:ilvl="0" w:tplc="0D4A3EF4">
      <w:start w:val="1"/>
      <w:numFmt w:val="bullet"/>
      <w:lvlText w:val="•"/>
      <w:lvlJc w:val="left"/>
      <w:pPr>
        <w:tabs>
          <w:tab w:val="num" w:pos="720"/>
        </w:tabs>
        <w:ind w:left="720" w:hanging="360"/>
      </w:pPr>
      <w:rPr>
        <w:rFonts w:ascii="Arial" w:hAnsi="Arial" w:hint="default"/>
      </w:rPr>
    </w:lvl>
    <w:lvl w:ilvl="1" w:tplc="98EE60C2" w:tentative="1">
      <w:start w:val="1"/>
      <w:numFmt w:val="bullet"/>
      <w:lvlText w:val="•"/>
      <w:lvlJc w:val="left"/>
      <w:pPr>
        <w:tabs>
          <w:tab w:val="num" w:pos="1440"/>
        </w:tabs>
        <w:ind w:left="1440" w:hanging="360"/>
      </w:pPr>
      <w:rPr>
        <w:rFonts w:ascii="Arial" w:hAnsi="Arial" w:hint="default"/>
      </w:rPr>
    </w:lvl>
    <w:lvl w:ilvl="2" w:tplc="5ED8181E" w:tentative="1">
      <w:start w:val="1"/>
      <w:numFmt w:val="bullet"/>
      <w:lvlText w:val="•"/>
      <w:lvlJc w:val="left"/>
      <w:pPr>
        <w:tabs>
          <w:tab w:val="num" w:pos="2160"/>
        </w:tabs>
        <w:ind w:left="2160" w:hanging="360"/>
      </w:pPr>
      <w:rPr>
        <w:rFonts w:ascii="Arial" w:hAnsi="Arial" w:hint="default"/>
      </w:rPr>
    </w:lvl>
    <w:lvl w:ilvl="3" w:tplc="76341F44" w:tentative="1">
      <w:start w:val="1"/>
      <w:numFmt w:val="bullet"/>
      <w:lvlText w:val="•"/>
      <w:lvlJc w:val="left"/>
      <w:pPr>
        <w:tabs>
          <w:tab w:val="num" w:pos="2880"/>
        </w:tabs>
        <w:ind w:left="2880" w:hanging="360"/>
      </w:pPr>
      <w:rPr>
        <w:rFonts w:ascii="Arial" w:hAnsi="Arial" w:hint="default"/>
      </w:rPr>
    </w:lvl>
    <w:lvl w:ilvl="4" w:tplc="FBD823C2" w:tentative="1">
      <w:start w:val="1"/>
      <w:numFmt w:val="bullet"/>
      <w:lvlText w:val="•"/>
      <w:lvlJc w:val="left"/>
      <w:pPr>
        <w:tabs>
          <w:tab w:val="num" w:pos="3600"/>
        </w:tabs>
        <w:ind w:left="3600" w:hanging="360"/>
      </w:pPr>
      <w:rPr>
        <w:rFonts w:ascii="Arial" w:hAnsi="Arial" w:hint="default"/>
      </w:rPr>
    </w:lvl>
    <w:lvl w:ilvl="5" w:tplc="313A041A" w:tentative="1">
      <w:start w:val="1"/>
      <w:numFmt w:val="bullet"/>
      <w:lvlText w:val="•"/>
      <w:lvlJc w:val="left"/>
      <w:pPr>
        <w:tabs>
          <w:tab w:val="num" w:pos="4320"/>
        </w:tabs>
        <w:ind w:left="4320" w:hanging="360"/>
      </w:pPr>
      <w:rPr>
        <w:rFonts w:ascii="Arial" w:hAnsi="Arial" w:hint="default"/>
      </w:rPr>
    </w:lvl>
    <w:lvl w:ilvl="6" w:tplc="BEB0EA3A" w:tentative="1">
      <w:start w:val="1"/>
      <w:numFmt w:val="bullet"/>
      <w:lvlText w:val="•"/>
      <w:lvlJc w:val="left"/>
      <w:pPr>
        <w:tabs>
          <w:tab w:val="num" w:pos="5040"/>
        </w:tabs>
        <w:ind w:left="5040" w:hanging="360"/>
      </w:pPr>
      <w:rPr>
        <w:rFonts w:ascii="Arial" w:hAnsi="Arial" w:hint="default"/>
      </w:rPr>
    </w:lvl>
    <w:lvl w:ilvl="7" w:tplc="5844C3DE" w:tentative="1">
      <w:start w:val="1"/>
      <w:numFmt w:val="bullet"/>
      <w:lvlText w:val="•"/>
      <w:lvlJc w:val="left"/>
      <w:pPr>
        <w:tabs>
          <w:tab w:val="num" w:pos="5760"/>
        </w:tabs>
        <w:ind w:left="5760" w:hanging="360"/>
      </w:pPr>
      <w:rPr>
        <w:rFonts w:ascii="Arial" w:hAnsi="Arial" w:hint="default"/>
      </w:rPr>
    </w:lvl>
    <w:lvl w:ilvl="8" w:tplc="B65C86F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719430E"/>
    <w:multiLevelType w:val="hybridMultilevel"/>
    <w:tmpl w:val="7958BFB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A9218D6"/>
    <w:multiLevelType w:val="hybridMultilevel"/>
    <w:tmpl w:val="795AFEC8"/>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B472A7D"/>
    <w:multiLevelType w:val="hybridMultilevel"/>
    <w:tmpl w:val="A91E58B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B9A12FF"/>
    <w:multiLevelType w:val="hybridMultilevel"/>
    <w:tmpl w:val="CE682994"/>
    <w:lvl w:ilvl="0" w:tplc="9B6ACCBC">
      <w:start w:val="1"/>
      <w:numFmt w:val="bullet"/>
      <w:lvlText w:val="•"/>
      <w:lvlJc w:val="left"/>
      <w:pPr>
        <w:tabs>
          <w:tab w:val="num" w:pos="720"/>
        </w:tabs>
        <w:ind w:left="720" w:hanging="360"/>
      </w:pPr>
      <w:rPr>
        <w:rFonts w:ascii="Arial" w:hAnsi="Arial" w:hint="default"/>
      </w:rPr>
    </w:lvl>
    <w:lvl w:ilvl="1" w:tplc="C8EA7784" w:tentative="1">
      <w:start w:val="1"/>
      <w:numFmt w:val="bullet"/>
      <w:lvlText w:val="•"/>
      <w:lvlJc w:val="left"/>
      <w:pPr>
        <w:tabs>
          <w:tab w:val="num" w:pos="1440"/>
        </w:tabs>
        <w:ind w:left="1440" w:hanging="360"/>
      </w:pPr>
      <w:rPr>
        <w:rFonts w:ascii="Arial" w:hAnsi="Arial" w:hint="default"/>
      </w:rPr>
    </w:lvl>
    <w:lvl w:ilvl="2" w:tplc="9904D3DA" w:tentative="1">
      <w:start w:val="1"/>
      <w:numFmt w:val="bullet"/>
      <w:lvlText w:val="•"/>
      <w:lvlJc w:val="left"/>
      <w:pPr>
        <w:tabs>
          <w:tab w:val="num" w:pos="2160"/>
        </w:tabs>
        <w:ind w:left="2160" w:hanging="360"/>
      </w:pPr>
      <w:rPr>
        <w:rFonts w:ascii="Arial" w:hAnsi="Arial" w:hint="default"/>
      </w:rPr>
    </w:lvl>
    <w:lvl w:ilvl="3" w:tplc="0B60D244" w:tentative="1">
      <w:start w:val="1"/>
      <w:numFmt w:val="bullet"/>
      <w:lvlText w:val="•"/>
      <w:lvlJc w:val="left"/>
      <w:pPr>
        <w:tabs>
          <w:tab w:val="num" w:pos="2880"/>
        </w:tabs>
        <w:ind w:left="2880" w:hanging="360"/>
      </w:pPr>
      <w:rPr>
        <w:rFonts w:ascii="Arial" w:hAnsi="Arial" w:hint="default"/>
      </w:rPr>
    </w:lvl>
    <w:lvl w:ilvl="4" w:tplc="14B47A5C" w:tentative="1">
      <w:start w:val="1"/>
      <w:numFmt w:val="bullet"/>
      <w:lvlText w:val="•"/>
      <w:lvlJc w:val="left"/>
      <w:pPr>
        <w:tabs>
          <w:tab w:val="num" w:pos="3600"/>
        </w:tabs>
        <w:ind w:left="3600" w:hanging="360"/>
      </w:pPr>
      <w:rPr>
        <w:rFonts w:ascii="Arial" w:hAnsi="Arial" w:hint="default"/>
      </w:rPr>
    </w:lvl>
    <w:lvl w:ilvl="5" w:tplc="83DC34B0" w:tentative="1">
      <w:start w:val="1"/>
      <w:numFmt w:val="bullet"/>
      <w:lvlText w:val="•"/>
      <w:lvlJc w:val="left"/>
      <w:pPr>
        <w:tabs>
          <w:tab w:val="num" w:pos="4320"/>
        </w:tabs>
        <w:ind w:left="4320" w:hanging="360"/>
      </w:pPr>
      <w:rPr>
        <w:rFonts w:ascii="Arial" w:hAnsi="Arial" w:hint="default"/>
      </w:rPr>
    </w:lvl>
    <w:lvl w:ilvl="6" w:tplc="B492EFBE" w:tentative="1">
      <w:start w:val="1"/>
      <w:numFmt w:val="bullet"/>
      <w:lvlText w:val="•"/>
      <w:lvlJc w:val="left"/>
      <w:pPr>
        <w:tabs>
          <w:tab w:val="num" w:pos="5040"/>
        </w:tabs>
        <w:ind w:left="5040" w:hanging="360"/>
      </w:pPr>
      <w:rPr>
        <w:rFonts w:ascii="Arial" w:hAnsi="Arial" w:hint="default"/>
      </w:rPr>
    </w:lvl>
    <w:lvl w:ilvl="7" w:tplc="0EBCA604" w:tentative="1">
      <w:start w:val="1"/>
      <w:numFmt w:val="bullet"/>
      <w:lvlText w:val="•"/>
      <w:lvlJc w:val="left"/>
      <w:pPr>
        <w:tabs>
          <w:tab w:val="num" w:pos="5760"/>
        </w:tabs>
        <w:ind w:left="5760" w:hanging="360"/>
      </w:pPr>
      <w:rPr>
        <w:rFonts w:ascii="Arial" w:hAnsi="Arial" w:hint="default"/>
      </w:rPr>
    </w:lvl>
    <w:lvl w:ilvl="8" w:tplc="608A259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FE41E2A"/>
    <w:multiLevelType w:val="hybridMultilevel"/>
    <w:tmpl w:val="DC1A4C4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7" w15:restartNumberingAfterBreak="0">
    <w:nsid w:val="237041BF"/>
    <w:multiLevelType w:val="hybridMultilevel"/>
    <w:tmpl w:val="07FE06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4551449"/>
    <w:multiLevelType w:val="hybridMultilevel"/>
    <w:tmpl w:val="DF7A050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76C2057"/>
    <w:multiLevelType w:val="hybridMultilevel"/>
    <w:tmpl w:val="DDEE793C"/>
    <w:lvl w:ilvl="0" w:tplc="2632C25C">
      <w:start w:val="1"/>
      <w:numFmt w:val="lowerLetter"/>
      <w:lvlText w:val="%1)"/>
      <w:lvlJc w:val="left"/>
      <w:pPr>
        <w:ind w:left="720" w:hanging="360"/>
      </w:pPr>
      <w:rPr>
        <w:rFonts w:hint="default"/>
        <w:color w:val="auto"/>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C7B188C"/>
    <w:multiLevelType w:val="hybridMultilevel"/>
    <w:tmpl w:val="B3160388"/>
    <w:lvl w:ilvl="0" w:tplc="10090017">
      <w:start w:val="1"/>
      <w:numFmt w:val="lowerLetter"/>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F187862"/>
    <w:multiLevelType w:val="hybridMultilevel"/>
    <w:tmpl w:val="D19CCF88"/>
    <w:lvl w:ilvl="0" w:tplc="50B2515C">
      <w:start w:val="1"/>
      <w:numFmt w:val="lowerLetter"/>
      <w:lvlText w:val="%1)"/>
      <w:lvlJc w:val="left"/>
      <w:pPr>
        <w:ind w:left="720" w:hanging="360"/>
      </w:pPr>
      <w:rPr>
        <w:rFonts w:hint="default"/>
        <w:color w:val="auto"/>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008701F"/>
    <w:multiLevelType w:val="hybridMultilevel"/>
    <w:tmpl w:val="C93A5D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3E64AD9"/>
    <w:multiLevelType w:val="hybridMultilevel"/>
    <w:tmpl w:val="477CB0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ABE387B"/>
    <w:multiLevelType w:val="hybridMultilevel"/>
    <w:tmpl w:val="55146C70"/>
    <w:lvl w:ilvl="0" w:tplc="5F6C3E82">
      <w:start w:val="1"/>
      <w:numFmt w:val="lowerLetter"/>
      <w:lvlText w:val="%1."/>
      <w:lvlJc w:val="left"/>
      <w:pPr>
        <w:ind w:left="720" w:hanging="360"/>
      </w:pPr>
      <w:rPr>
        <w:rFonts w:ascii="Arial" w:hAnsi="Arial"/>
        <w:caps w:val="0"/>
        <w:color w:val="000000" w:themeColor="text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3210C2D"/>
    <w:multiLevelType w:val="hybridMultilevel"/>
    <w:tmpl w:val="950EC186"/>
    <w:lvl w:ilvl="0" w:tplc="DACEB540">
      <w:start w:val="1"/>
      <w:numFmt w:val="bullet"/>
      <w:lvlText w:val="•"/>
      <w:lvlJc w:val="left"/>
      <w:pPr>
        <w:tabs>
          <w:tab w:val="num" w:pos="720"/>
        </w:tabs>
        <w:ind w:left="720" w:hanging="360"/>
      </w:pPr>
      <w:rPr>
        <w:rFonts w:ascii="Arial" w:hAnsi="Arial" w:hint="default"/>
      </w:rPr>
    </w:lvl>
    <w:lvl w:ilvl="1" w:tplc="0F069BEA" w:tentative="1">
      <w:start w:val="1"/>
      <w:numFmt w:val="bullet"/>
      <w:lvlText w:val="•"/>
      <w:lvlJc w:val="left"/>
      <w:pPr>
        <w:tabs>
          <w:tab w:val="num" w:pos="1440"/>
        </w:tabs>
        <w:ind w:left="1440" w:hanging="360"/>
      </w:pPr>
      <w:rPr>
        <w:rFonts w:ascii="Arial" w:hAnsi="Arial" w:hint="default"/>
      </w:rPr>
    </w:lvl>
    <w:lvl w:ilvl="2" w:tplc="F112D614" w:tentative="1">
      <w:start w:val="1"/>
      <w:numFmt w:val="bullet"/>
      <w:lvlText w:val="•"/>
      <w:lvlJc w:val="left"/>
      <w:pPr>
        <w:tabs>
          <w:tab w:val="num" w:pos="2160"/>
        </w:tabs>
        <w:ind w:left="2160" w:hanging="360"/>
      </w:pPr>
      <w:rPr>
        <w:rFonts w:ascii="Arial" w:hAnsi="Arial" w:hint="default"/>
      </w:rPr>
    </w:lvl>
    <w:lvl w:ilvl="3" w:tplc="611018E4" w:tentative="1">
      <w:start w:val="1"/>
      <w:numFmt w:val="bullet"/>
      <w:lvlText w:val="•"/>
      <w:lvlJc w:val="left"/>
      <w:pPr>
        <w:tabs>
          <w:tab w:val="num" w:pos="2880"/>
        </w:tabs>
        <w:ind w:left="2880" w:hanging="360"/>
      </w:pPr>
      <w:rPr>
        <w:rFonts w:ascii="Arial" w:hAnsi="Arial" w:hint="default"/>
      </w:rPr>
    </w:lvl>
    <w:lvl w:ilvl="4" w:tplc="63A0614A" w:tentative="1">
      <w:start w:val="1"/>
      <w:numFmt w:val="bullet"/>
      <w:lvlText w:val="•"/>
      <w:lvlJc w:val="left"/>
      <w:pPr>
        <w:tabs>
          <w:tab w:val="num" w:pos="3600"/>
        </w:tabs>
        <w:ind w:left="3600" w:hanging="360"/>
      </w:pPr>
      <w:rPr>
        <w:rFonts w:ascii="Arial" w:hAnsi="Arial" w:hint="default"/>
      </w:rPr>
    </w:lvl>
    <w:lvl w:ilvl="5" w:tplc="BEF2F8C6" w:tentative="1">
      <w:start w:val="1"/>
      <w:numFmt w:val="bullet"/>
      <w:lvlText w:val="•"/>
      <w:lvlJc w:val="left"/>
      <w:pPr>
        <w:tabs>
          <w:tab w:val="num" w:pos="4320"/>
        </w:tabs>
        <w:ind w:left="4320" w:hanging="360"/>
      </w:pPr>
      <w:rPr>
        <w:rFonts w:ascii="Arial" w:hAnsi="Arial" w:hint="default"/>
      </w:rPr>
    </w:lvl>
    <w:lvl w:ilvl="6" w:tplc="8034EB3C" w:tentative="1">
      <w:start w:val="1"/>
      <w:numFmt w:val="bullet"/>
      <w:lvlText w:val="•"/>
      <w:lvlJc w:val="left"/>
      <w:pPr>
        <w:tabs>
          <w:tab w:val="num" w:pos="5040"/>
        </w:tabs>
        <w:ind w:left="5040" w:hanging="360"/>
      </w:pPr>
      <w:rPr>
        <w:rFonts w:ascii="Arial" w:hAnsi="Arial" w:hint="default"/>
      </w:rPr>
    </w:lvl>
    <w:lvl w:ilvl="7" w:tplc="E7A692DA" w:tentative="1">
      <w:start w:val="1"/>
      <w:numFmt w:val="bullet"/>
      <w:lvlText w:val="•"/>
      <w:lvlJc w:val="left"/>
      <w:pPr>
        <w:tabs>
          <w:tab w:val="num" w:pos="5760"/>
        </w:tabs>
        <w:ind w:left="5760" w:hanging="360"/>
      </w:pPr>
      <w:rPr>
        <w:rFonts w:ascii="Arial" w:hAnsi="Arial" w:hint="default"/>
      </w:rPr>
    </w:lvl>
    <w:lvl w:ilvl="8" w:tplc="54582EC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5533D7D"/>
    <w:multiLevelType w:val="hybridMultilevel"/>
    <w:tmpl w:val="85569512"/>
    <w:lvl w:ilvl="0" w:tplc="10090017">
      <w:start w:val="1"/>
      <w:numFmt w:val="lowerLetter"/>
      <w:lvlText w:val="%1)"/>
      <w:lvlJc w:val="left"/>
      <w:pPr>
        <w:ind w:left="720" w:hanging="360"/>
      </w:pPr>
      <w:rPr>
        <w:rFonts w:hint="default"/>
        <w:color w:val="auto"/>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6586ED4"/>
    <w:multiLevelType w:val="hybridMultilevel"/>
    <w:tmpl w:val="53B809AE"/>
    <w:lvl w:ilvl="0" w:tplc="9904D348">
      <w:start w:val="1"/>
      <w:numFmt w:val="lowerLetter"/>
      <w:lvlText w:val="%1)"/>
      <w:lvlJc w:val="left"/>
      <w:pPr>
        <w:ind w:left="720" w:hanging="360"/>
      </w:pPr>
      <w:rPr>
        <w:rFonts w:asciiTheme="minorHAnsi" w:eastAsiaTheme="minorHAnsi" w:hAnsiTheme="minorHAnsi" w:cstheme="minorBid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C383D62"/>
    <w:multiLevelType w:val="hybridMultilevel"/>
    <w:tmpl w:val="07A49B0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CA35FDE"/>
    <w:multiLevelType w:val="hybridMultilevel"/>
    <w:tmpl w:val="0366B9D2"/>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15:restartNumberingAfterBreak="0">
    <w:nsid w:val="4FAC3017"/>
    <w:multiLevelType w:val="hybridMultilevel"/>
    <w:tmpl w:val="A976A3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36E73CC"/>
    <w:multiLevelType w:val="hybridMultilevel"/>
    <w:tmpl w:val="13B8FC5E"/>
    <w:lvl w:ilvl="0" w:tplc="2E2A839C">
      <w:start w:val="1"/>
      <w:numFmt w:val="decimal"/>
      <w:lvlText w:val="%1."/>
      <w:lvlJc w:val="left"/>
      <w:pPr>
        <w:ind w:left="1211" w:hanging="360"/>
      </w:pPr>
      <w:rPr>
        <w:rFonts w:asciiTheme="minorHAnsi" w:eastAsiaTheme="minorHAnsi" w:hAnsiTheme="minorHAnsi" w:cstheme="minorHAnsi"/>
      </w:rPr>
    </w:lvl>
    <w:lvl w:ilvl="1" w:tplc="10090003">
      <w:start w:val="1"/>
      <w:numFmt w:val="bullet"/>
      <w:lvlText w:val="o"/>
      <w:lvlJc w:val="left"/>
      <w:pPr>
        <w:ind w:left="1931" w:hanging="360"/>
      </w:pPr>
      <w:rPr>
        <w:rFonts w:ascii="Courier New" w:hAnsi="Courier New" w:cs="Courier New" w:hint="default"/>
      </w:rPr>
    </w:lvl>
    <w:lvl w:ilvl="2" w:tplc="10090005" w:tentative="1">
      <w:start w:val="1"/>
      <w:numFmt w:val="bullet"/>
      <w:lvlText w:val=""/>
      <w:lvlJc w:val="left"/>
      <w:pPr>
        <w:ind w:left="2651" w:hanging="360"/>
      </w:pPr>
      <w:rPr>
        <w:rFonts w:ascii="Wingdings" w:hAnsi="Wingdings" w:hint="default"/>
      </w:rPr>
    </w:lvl>
    <w:lvl w:ilvl="3" w:tplc="10090001" w:tentative="1">
      <w:start w:val="1"/>
      <w:numFmt w:val="bullet"/>
      <w:lvlText w:val=""/>
      <w:lvlJc w:val="left"/>
      <w:pPr>
        <w:ind w:left="3371" w:hanging="360"/>
      </w:pPr>
      <w:rPr>
        <w:rFonts w:ascii="Symbol" w:hAnsi="Symbol" w:hint="default"/>
      </w:rPr>
    </w:lvl>
    <w:lvl w:ilvl="4" w:tplc="10090003" w:tentative="1">
      <w:start w:val="1"/>
      <w:numFmt w:val="bullet"/>
      <w:lvlText w:val="o"/>
      <w:lvlJc w:val="left"/>
      <w:pPr>
        <w:ind w:left="4091" w:hanging="360"/>
      </w:pPr>
      <w:rPr>
        <w:rFonts w:ascii="Courier New" w:hAnsi="Courier New" w:cs="Courier New" w:hint="default"/>
      </w:rPr>
    </w:lvl>
    <w:lvl w:ilvl="5" w:tplc="10090005" w:tentative="1">
      <w:start w:val="1"/>
      <w:numFmt w:val="bullet"/>
      <w:lvlText w:val=""/>
      <w:lvlJc w:val="left"/>
      <w:pPr>
        <w:ind w:left="4811" w:hanging="360"/>
      </w:pPr>
      <w:rPr>
        <w:rFonts w:ascii="Wingdings" w:hAnsi="Wingdings" w:hint="default"/>
      </w:rPr>
    </w:lvl>
    <w:lvl w:ilvl="6" w:tplc="10090001" w:tentative="1">
      <w:start w:val="1"/>
      <w:numFmt w:val="bullet"/>
      <w:lvlText w:val=""/>
      <w:lvlJc w:val="left"/>
      <w:pPr>
        <w:ind w:left="5531" w:hanging="360"/>
      </w:pPr>
      <w:rPr>
        <w:rFonts w:ascii="Symbol" w:hAnsi="Symbol" w:hint="default"/>
      </w:rPr>
    </w:lvl>
    <w:lvl w:ilvl="7" w:tplc="10090003" w:tentative="1">
      <w:start w:val="1"/>
      <w:numFmt w:val="bullet"/>
      <w:lvlText w:val="o"/>
      <w:lvlJc w:val="left"/>
      <w:pPr>
        <w:ind w:left="6251" w:hanging="360"/>
      </w:pPr>
      <w:rPr>
        <w:rFonts w:ascii="Courier New" w:hAnsi="Courier New" w:cs="Courier New" w:hint="default"/>
      </w:rPr>
    </w:lvl>
    <w:lvl w:ilvl="8" w:tplc="10090005" w:tentative="1">
      <w:start w:val="1"/>
      <w:numFmt w:val="bullet"/>
      <w:lvlText w:val=""/>
      <w:lvlJc w:val="left"/>
      <w:pPr>
        <w:ind w:left="6971" w:hanging="360"/>
      </w:pPr>
      <w:rPr>
        <w:rFonts w:ascii="Wingdings" w:hAnsi="Wingdings" w:hint="default"/>
      </w:rPr>
    </w:lvl>
  </w:abstractNum>
  <w:abstractNum w:abstractNumId="32" w15:restartNumberingAfterBreak="0">
    <w:nsid w:val="557A6B54"/>
    <w:multiLevelType w:val="hybridMultilevel"/>
    <w:tmpl w:val="2C4A6F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F88378A"/>
    <w:multiLevelType w:val="hybridMultilevel"/>
    <w:tmpl w:val="6E54F442"/>
    <w:lvl w:ilvl="0" w:tplc="3D14791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04742CA"/>
    <w:multiLevelType w:val="hybridMultilevel"/>
    <w:tmpl w:val="3E1C420E"/>
    <w:lvl w:ilvl="0" w:tplc="820EC378">
      <w:start w:val="1"/>
      <w:numFmt w:val="decimal"/>
      <w:lvlText w:val="%1)"/>
      <w:lvlJc w:val="left"/>
      <w:pPr>
        <w:ind w:left="36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2940F7A"/>
    <w:multiLevelType w:val="hybridMultilevel"/>
    <w:tmpl w:val="B95A3F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5A81C0B"/>
    <w:multiLevelType w:val="hybridMultilevel"/>
    <w:tmpl w:val="3CFCE55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ACE39DE"/>
    <w:multiLevelType w:val="hybridMultilevel"/>
    <w:tmpl w:val="D5C2EC2C"/>
    <w:lvl w:ilvl="0" w:tplc="8BC0DCF8">
      <w:start w:val="1"/>
      <w:numFmt w:val="decimal"/>
      <w:lvlText w:val="%1."/>
      <w:lvlJc w:val="left"/>
      <w:pPr>
        <w:ind w:left="720" w:hanging="360"/>
      </w:pPr>
      <w:rPr>
        <w:rFonts w:hint="default"/>
        <w:color w:val="auto"/>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BCB094F"/>
    <w:multiLevelType w:val="hybridMultilevel"/>
    <w:tmpl w:val="71BA5B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C194069"/>
    <w:multiLevelType w:val="hybridMultilevel"/>
    <w:tmpl w:val="23E0BC3C"/>
    <w:lvl w:ilvl="0" w:tplc="B37044D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13551FA"/>
    <w:multiLevelType w:val="hybridMultilevel"/>
    <w:tmpl w:val="779AEF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6DC16F5"/>
    <w:multiLevelType w:val="hybridMultilevel"/>
    <w:tmpl w:val="B066E42A"/>
    <w:lvl w:ilvl="0" w:tplc="304EAEA6">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9DA707D"/>
    <w:multiLevelType w:val="hybridMultilevel"/>
    <w:tmpl w:val="BDF2976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3" w15:restartNumberingAfterBreak="0">
    <w:nsid w:val="7DB5615B"/>
    <w:multiLevelType w:val="hybridMultilevel"/>
    <w:tmpl w:val="930CDA86"/>
    <w:lvl w:ilvl="0" w:tplc="030A1308">
      <w:start w:val="1"/>
      <w:numFmt w:val="lowerLetter"/>
      <w:lvlText w:val="%1)"/>
      <w:lvlJc w:val="left"/>
      <w:pPr>
        <w:ind w:left="720" w:hanging="360"/>
      </w:pPr>
      <w:rPr>
        <w:rFonts w:hint="default"/>
        <w:color w:val="auto"/>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3"/>
  </w:num>
  <w:num w:numId="2">
    <w:abstractNumId w:val="40"/>
  </w:num>
  <w:num w:numId="3">
    <w:abstractNumId w:val="42"/>
  </w:num>
  <w:num w:numId="4">
    <w:abstractNumId w:val="8"/>
  </w:num>
  <w:num w:numId="5">
    <w:abstractNumId w:val="5"/>
  </w:num>
  <w:num w:numId="6">
    <w:abstractNumId w:val="28"/>
  </w:num>
  <w:num w:numId="7">
    <w:abstractNumId w:val="4"/>
  </w:num>
  <w:num w:numId="8">
    <w:abstractNumId w:val="33"/>
  </w:num>
  <w:num w:numId="9">
    <w:abstractNumId w:val="13"/>
  </w:num>
  <w:num w:numId="10">
    <w:abstractNumId w:val="41"/>
  </w:num>
  <w:num w:numId="11">
    <w:abstractNumId w:val="38"/>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0"/>
  </w:num>
  <w:num w:numId="15">
    <w:abstractNumId w:val="17"/>
  </w:num>
  <w:num w:numId="16">
    <w:abstractNumId w:val="1"/>
  </w:num>
  <w:num w:numId="17">
    <w:abstractNumId w:val="14"/>
  </w:num>
  <w:num w:numId="18">
    <w:abstractNumId w:val="30"/>
  </w:num>
  <w:num w:numId="19">
    <w:abstractNumId w:val="25"/>
  </w:num>
  <w:num w:numId="20">
    <w:abstractNumId w:val="15"/>
  </w:num>
  <w:num w:numId="21">
    <w:abstractNumId w:val="35"/>
  </w:num>
  <w:num w:numId="22">
    <w:abstractNumId w:val="3"/>
  </w:num>
  <w:num w:numId="23">
    <w:abstractNumId w:val="11"/>
  </w:num>
  <w:num w:numId="24">
    <w:abstractNumId w:val="10"/>
  </w:num>
  <w:num w:numId="25">
    <w:abstractNumId w:val="21"/>
  </w:num>
  <w:num w:numId="26">
    <w:abstractNumId w:val="27"/>
  </w:num>
  <w:num w:numId="27">
    <w:abstractNumId w:val="36"/>
  </w:num>
  <w:num w:numId="28">
    <w:abstractNumId w:val="32"/>
  </w:num>
  <w:num w:numId="29">
    <w:abstractNumId w:val="2"/>
  </w:num>
  <w:num w:numId="30">
    <w:abstractNumId w:val="22"/>
  </w:num>
  <w:num w:numId="31">
    <w:abstractNumId w:val="18"/>
  </w:num>
  <w:num w:numId="32">
    <w:abstractNumId w:val="31"/>
  </w:num>
  <w:num w:numId="33">
    <w:abstractNumId w:val="37"/>
  </w:num>
  <w:num w:numId="34">
    <w:abstractNumId w:val="19"/>
  </w:num>
  <w:num w:numId="35">
    <w:abstractNumId w:val="26"/>
  </w:num>
  <w:num w:numId="36">
    <w:abstractNumId w:val="43"/>
  </w:num>
  <w:num w:numId="37">
    <w:abstractNumId w:val="39"/>
  </w:num>
  <w:num w:numId="38">
    <w:abstractNumId w:val="12"/>
  </w:num>
  <w:num w:numId="39">
    <w:abstractNumId w:val="34"/>
  </w:num>
  <w:num w:numId="40">
    <w:abstractNumId w:val="9"/>
  </w:num>
  <w:num w:numId="41">
    <w:abstractNumId w:val="29"/>
  </w:num>
  <w:num w:numId="42">
    <w:abstractNumId w:val="20"/>
  </w:num>
  <w:num w:numId="43">
    <w:abstractNumId w:val="6"/>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398"/>
    <w:rsid w:val="00003C6A"/>
    <w:rsid w:val="00003DC6"/>
    <w:rsid w:val="00004E7E"/>
    <w:rsid w:val="000050B4"/>
    <w:rsid w:val="00005B0D"/>
    <w:rsid w:val="00007E87"/>
    <w:rsid w:val="00010541"/>
    <w:rsid w:val="00011779"/>
    <w:rsid w:val="000125E0"/>
    <w:rsid w:val="00016A0D"/>
    <w:rsid w:val="00021B06"/>
    <w:rsid w:val="0002340F"/>
    <w:rsid w:val="0003470E"/>
    <w:rsid w:val="000351F2"/>
    <w:rsid w:val="00035A2C"/>
    <w:rsid w:val="00037653"/>
    <w:rsid w:val="00040FF3"/>
    <w:rsid w:val="00041925"/>
    <w:rsid w:val="00041E00"/>
    <w:rsid w:val="000428A4"/>
    <w:rsid w:val="00045097"/>
    <w:rsid w:val="0004536D"/>
    <w:rsid w:val="00050B41"/>
    <w:rsid w:val="00050BBB"/>
    <w:rsid w:val="000554D8"/>
    <w:rsid w:val="00055F48"/>
    <w:rsid w:val="0005764B"/>
    <w:rsid w:val="00060B8F"/>
    <w:rsid w:val="00062423"/>
    <w:rsid w:val="0006377C"/>
    <w:rsid w:val="00072766"/>
    <w:rsid w:val="00073BF5"/>
    <w:rsid w:val="000750F7"/>
    <w:rsid w:val="000756B1"/>
    <w:rsid w:val="00075C03"/>
    <w:rsid w:val="000806A0"/>
    <w:rsid w:val="00082599"/>
    <w:rsid w:val="00083622"/>
    <w:rsid w:val="00084DE1"/>
    <w:rsid w:val="00085BB6"/>
    <w:rsid w:val="00085C92"/>
    <w:rsid w:val="000872F5"/>
    <w:rsid w:val="00090488"/>
    <w:rsid w:val="00091DDE"/>
    <w:rsid w:val="00095836"/>
    <w:rsid w:val="00097A34"/>
    <w:rsid w:val="000A0119"/>
    <w:rsid w:val="000A04A2"/>
    <w:rsid w:val="000A1A28"/>
    <w:rsid w:val="000A4B0F"/>
    <w:rsid w:val="000A5C37"/>
    <w:rsid w:val="000A7F3E"/>
    <w:rsid w:val="000B2551"/>
    <w:rsid w:val="000B352E"/>
    <w:rsid w:val="000B3B06"/>
    <w:rsid w:val="000B41B2"/>
    <w:rsid w:val="000B69E8"/>
    <w:rsid w:val="000B7158"/>
    <w:rsid w:val="000B7AB3"/>
    <w:rsid w:val="000C017E"/>
    <w:rsid w:val="000C0BA4"/>
    <w:rsid w:val="000C1CBE"/>
    <w:rsid w:val="000C1CD1"/>
    <w:rsid w:val="000C1F65"/>
    <w:rsid w:val="000C2809"/>
    <w:rsid w:val="000C4FC3"/>
    <w:rsid w:val="000C59CD"/>
    <w:rsid w:val="000C7081"/>
    <w:rsid w:val="000D0D4F"/>
    <w:rsid w:val="000D2C65"/>
    <w:rsid w:val="000D3975"/>
    <w:rsid w:val="000D3A0A"/>
    <w:rsid w:val="000D432E"/>
    <w:rsid w:val="000D5974"/>
    <w:rsid w:val="000D5ED5"/>
    <w:rsid w:val="000E1702"/>
    <w:rsid w:val="000E249F"/>
    <w:rsid w:val="000E3237"/>
    <w:rsid w:val="000E46E2"/>
    <w:rsid w:val="000E4B3D"/>
    <w:rsid w:val="000E76D7"/>
    <w:rsid w:val="000E7A4D"/>
    <w:rsid w:val="000F1DD3"/>
    <w:rsid w:val="000F1F95"/>
    <w:rsid w:val="000F3ED9"/>
    <w:rsid w:val="000F48DC"/>
    <w:rsid w:val="000F5131"/>
    <w:rsid w:val="000F52B5"/>
    <w:rsid w:val="000F5B1F"/>
    <w:rsid w:val="000F6D69"/>
    <w:rsid w:val="000F75BB"/>
    <w:rsid w:val="0010013D"/>
    <w:rsid w:val="001008C3"/>
    <w:rsid w:val="00101E8B"/>
    <w:rsid w:val="001021C4"/>
    <w:rsid w:val="001063AF"/>
    <w:rsid w:val="00110437"/>
    <w:rsid w:val="00111E0B"/>
    <w:rsid w:val="00113472"/>
    <w:rsid w:val="00114437"/>
    <w:rsid w:val="00115A16"/>
    <w:rsid w:val="001227D9"/>
    <w:rsid w:val="00122BB2"/>
    <w:rsid w:val="00123A2C"/>
    <w:rsid w:val="001259D1"/>
    <w:rsid w:val="00125E35"/>
    <w:rsid w:val="00130AEB"/>
    <w:rsid w:val="0013430F"/>
    <w:rsid w:val="00135A0A"/>
    <w:rsid w:val="00135E72"/>
    <w:rsid w:val="001365B0"/>
    <w:rsid w:val="00140129"/>
    <w:rsid w:val="001408EF"/>
    <w:rsid w:val="001422E0"/>
    <w:rsid w:val="00143FCB"/>
    <w:rsid w:val="001449F2"/>
    <w:rsid w:val="0014571B"/>
    <w:rsid w:val="00145E1E"/>
    <w:rsid w:val="001460C7"/>
    <w:rsid w:val="001476B8"/>
    <w:rsid w:val="001509BF"/>
    <w:rsid w:val="00150D1D"/>
    <w:rsid w:val="00152489"/>
    <w:rsid w:val="001525AB"/>
    <w:rsid w:val="00155B0E"/>
    <w:rsid w:val="0015740D"/>
    <w:rsid w:val="00160C26"/>
    <w:rsid w:val="00160C6F"/>
    <w:rsid w:val="0016215D"/>
    <w:rsid w:val="00164EFC"/>
    <w:rsid w:val="00165807"/>
    <w:rsid w:val="00165DC3"/>
    <w:rsid w:val="001662DC"/>
    <w:rsid w:val="00171227"/>
    <w:rsid w:val="00171845"/>
    <w:rsid w:val="00171FE8"/>
    <w:rsid w:val="00175330"/>
    <w:rsid w:val="00176886"/>
    <w:rsid w:val="001805A8"/>
    <w:rsid w:val="00180706"/>
    <w:rsid w:val="001825DA"/>
    <w:rsid w:val="00183937"/>
    <w:rsid w:val="001859B4"/>
    <w:rsid w:val="00186CC7"/>
    <w:rsid w:val="0018736C"/>
    <w:rsid w:val="00190B95"/>
    <w:rsid w:val="00193731"/>
    <w:rsid w:val="00194885"/>
    <w:rsid w:val="00195AB5"/>
    <w:rsid w:val="0019688D"/>
    <w:rsid w:val="001A0953"/>
    <w:rsid w:val="001A1337"/>
    <w:rsid w:val="001A15C8"/>
    <w:rsid w:val="001A336B"/>
    <w:rsid w:val="001A4B64"/>
    <w:rsid w:val="001B31FB"/>
    <w:rsid w:val="001B3930"/>
    <w:rsid w:val="001B4627"/>
    <w:rsid w:val="001B51E9"/>
    <w:rsid w:val="001B7A72"/>
    <w:rsid w:val="001B7B8F"/>
    <w:rsid w:val="001C099A"/>
    <w:rsid w:val="001C0E18"/>
    <w:rsid w:val="001C1922"/>
    <w:rsid w:val="001C237A"/>
    <w:rsid w:val="001C2B8E"/>
    <w:rsid w:val="001C37B4"/>
    <w:rsid w:val="001C56E7"/>
    <w:rsid w:val="001C6D21"/>
    <w:rsid w:val="001D0661"/>
    <w:rsid w:val="001D14E8"/>
    <w:rsid w:val="001D26F6"/>
    <w:rsid w:val="001D2FA4"/>
    <w:rsid w:val="001D4DEC"/>
    <w:rsid w:val="001D5494"/>
    <w:rsid w:val="001D56C2"/>
    <w:rsid w:val="001D76A0"/>
    <w:rsid w:val="001D7AEC"/>
    <w:rsid w:val="001D7B08"/>
    <w:rsid w:val="001D7CAD"/>
    <w:rsid w:val="001D7D9A"/>
    <w:rsid w:val="001E0061"/>
    <w:rsid w:val="001E0C67"/>
    <w:rsid w:val="001E12DC"/>
    <w:rsid w:val="001E34A3"/>
    <w:rsid w:val="001E43D5"/>
    <w:rsid w:val="001E79AB"/>
    <w:rsid w:val="001F125E"/>
    <w:rsid w:val="001F129E"/>
    <w:rsid w:val="001F1895"/>
    <w:rsid w:val="001F53F0"/>
    <w:rsid w:val="001F5DEA"/>
    <w:rsid w:val="00201DC8"/>
    <w:rsid w:val="00203E14"/>
    <w:rsid w:val="002052B6"/>
    <w:rsid w:val="0020628A"/>
    <w:rsid w:val="00212BA7"/>
    <w:rsid w:val="002135BD"/>
    <w:rsid w:val="00213727"/>
    <w:rsid w:val="00213730"/>
    <w:rsid w:val="00216117"/>
    <w:rsid w:val="00217122"/>
    <w:rsid w:val="002219D8"/>
    <w:rsid w:val="00224588"/>
    <w:rsid w:val="00224E5A"/>
    <w:rsid w:val="00225B08"/>
    <w:rsid w:val="00225BE4"/>
    <w:rsid w:val="00227C52"/>
    <w:rsid w:val="002303AF"/>
    <w:rsid w:val="00230AB7"/>
    <w:rsid w:val="00247034"/>
    <w:rsid w:val="00250657"/>
    <w:rsid w:val="00251809"/>
    <w:rsid w:val="00251C3E"/>
    <w:rsid w:val="00254BFD"/>
    <w:rsid w:val="00256F37"/>
    <w:rsid w:val="00265388"/>
    <w:rsid w:val="00267576"/>
    <w:rsid w:val="00270A94"/>
    <w:rsid w:val="0027217F"/>
    <w:rsid w:val="002724A8"/>
    <w:rsid w:val="002730BB"/>
    <w:rsid w:val="00274A75"/>
    <w:rsid w:val="00284DAE"/>
    <w:rsid w:val="00286485"/>
    <w:rsid w:val="00290BD6"/>
    <w:rsid w:val="00294648"/>
    <w:rsid w:val="00295FE7"/>
    <w:rsid w:val="00297500"/>
    <w:rsid w:val="002A1104"/>
    <w:rsid w:val="002A1598"/>
    <w:rsid w:val="002A299F"/>
    <w:rsid w:val="002A3064"/>
    <w:rsid w:val="002A3270"/>
    <w:rsid w:val="002A3459"/>
    <w:rsid w:val="002A67A1"/>
    <w:rsid w:val="002A714C"/>
    <w:rsid w:val="002B0377"/>
    <w:rsid w:val="002B69F3"/>
    <w:rsid w:val="002B6A43"/>
    <w:rsid w:val="002B7B65"/>
    <w:rsid w:val="002C3BB3"/>
    <w:rsid w:val="002D056F"/>
    <w:rsid w:val="002D0584"/>
    <w:rsid w:val="002D1148"/>
    <w:rsid w:val="002D1CDF"/>
    <w:rsid w:val="002D3C0E"/>
    <w:rsid w:val="002D3CAF"/>
    <w:rsid w:val="002D546B"/>
    <w:rsid w:val="002D5DA5"/>
    <w:rsid w:val="002D6312"/>
    <w:rsid w:val="002E0302"/>
    <w:rsid w:val="002E0355"/>
    <w:rsid w:val="002E089A"/>
    <w:rsid w:val="002E41FA"/>
    <w:rsid w:val="002E6FF6"/>
    <w:rsid w:val="002E7E32"/>
    <w:rsid w:val="002F129C"/>
    <w:rsid w:val="002F2C17"/>
    <w:rsid w:val="002F2E05"/>
    <w:rsid w:val="002F38CE"/>
    <w:rsid w:val="002F7C06"/>
    <w:rsid w:val="00300249"/>
    <w:rsid w:val="003003F1"/>
    <w:rsid w:val="003006C9"/>
    <w:rsid w:val="00301544"/>
    <w:rsid w:val="003027FB"/>
    <w:rsid w:val="00303A8C"/>
    <w:rsid w:val="00304308"/>
    <w:rsid w:val="003048E5"/>
    <w:rsid w:val="00305924"/>
    <w:rsid w:val="0030749A"/>
    <w:rsid w:val="003104DA"/>
    <w:rsid w:val="003109BA"/>
    <w:rsid w:val="00314136"/>
    <w:rsid w:val="00314EDB"/>
    <w:rsid w:val="003171C9"/>
    <w:rsid w:val="00317F1F"/>
    <w:rsid w:val="00320A04"/>
    <w:rsid w:val="00321A3E"/>
    <w:rsid w:val="003300F4"/>
    <w:rsid w:val="0033089D"/>
    <w:rsid w:val="00331EC7"/>
    <w:rsid w:val="00331ED6"/>
    <w:rsid w:val="00334ADD"/>
    <w:rsid w:val="00335083"/>
    <w:rsid w:val="00335E54"/>
    <w:rsid w:val="003361F4"/>
    <w:rsid w:val="00337798"/>
    <w:rsid w:val="00337F9B"/>
    <w:rsid w:val="0034215F"/>
    <w:rsid w:val="00344958"/>
    <w:rsid w:val="00347B51"/>
    <w:rsid w:val="0035152F"/>
    <w:rsid w:val="00352236"/>
    <w:rsid w:val="00353B00"/>
    <w:rsid w:val="003546BB"/>
    <w:rsid w:val="0036413B"/>
    <w:rsid w:val="00371B3E"/>
    <w:rsid w:val="00372263"/>
    <w:rsid w:val="00372BE0"/>
    <w:rsid w:val="00372CB5"/>
    <w:rsid w:val="00373711"/>
    <w:rsid w:val="00373893"/>
    <w:rsid w:val="00373B1A"/>
    <w:rsid w:val="00374ECF"/>
    <w:rsid w:val="003750F4"/>
    <w:rsid w:val="003757CA"/>
    <w:rsid w:val="00380700"/>
    <w:rsid w:val="00381DEE"/>
    <w:rsid w:val="003856D2"/>
    <w:rsid w:val="00385D5D"/>
    <w:rsid w:val="00385F81"/>
    <w:rsid w:val="00386602"/>
    <w:rsid w:val="00387491"/>
    <w:rsid w:val="003878B9"/>
    <w:rsid w:val="003911A8"/>
    <w:rsid w:val="00392353"/>
    <w:rsid w:val="00392C66"/>
    <w:rsid w:val="003970AC"/>
    <w:rsid w:val="003A0258"/>
    <w:rsid w:val="003A1F0D"/>
    <w:rsid w:val="003A24EA"/>
    <w:rsid w:val="003A4E34"/>
    <w:rsid w:val="003A5A2B"/>
    <w:rsid w:val="003A5D10"/>
    <w:rsid w:val="003A6EF1"/>
    <w:rsid w:val="003B2C12"/>
    <w:rsid w:val="003B3E0B"/>
    <w:rsid w:val="003B3E6C"/>
    <w:rsid w:val="003B5A9E"/>
    <w:rsid w:val="003B7A4E"/>
    <w:rsid w:val="003C08CC"/>
    <w:rsid w:val="003C31C3"/>
    <w:rsid w:val="003C4845"/>
    <w:rsid w:val="003C544A"/>
    <w:rsid w:val="003C6EFC"/>
    <w:rsid w:val="003D045F"/>
    <w:rsid w:val="003D1676"/>
    <w:rsid w:val="003D2855"/>
    <w:rsid w:val="003D3163"/>
    <w:rsid w:val="003D32A9"/>
    <w:rsid w:val="003D39EF"/>
    <w:rsid w:val="003D4D53"/>
    <w:rsid w:val="003D7632"/>
    <w:rsid w:val="003E0139"/>
    <w:rsid w:val="003E10B9"/>
    <w:rsid w:val="003E1A65"/>
    <w:rsid w:val="003E1FAE"/>
    <w:rsid w:val="003E3028"/>
    <w:rsid w:val="003E3464"/>
    <w:rsid w:val="003E4516"/>
    <w:rsid w:val="003E5DA6"/>
    <w:rsid w:val="003E6AAE"/>
    <w:rsid w:val="003E6C86"/>
    <w:rsid w:val="003F03F8"/>
    <w:rsid w:val="003F054B"/>
    <w:rsid w:val="003F3509"/>
    <w:rsid w:val="003F5F44"/>
    <w:rsid w:val="003F73BE"/>
    <w:rsid w:val="004004CD"/>
    <w:rsid w:val="004035DF"/>
    <w:rsid w:val="00404C1A"/>
    <w:rsid w:val="00406858"/>
    <w:rsid w:val="00411062"/>
    <w:rsid w:val="004115AC"/>
    <w:rsid w:val="00412AB6"/>
    <w:rsid w:val="00413DAD"/>
    <w:rsid w:val="00414244"/>
    <w:rsid w:val="00414A2C"/>
    <w:rsid w:val="00415DFA"/>
    <w:rsid w:val="00420F37"/>
    <w:rsid w:val="00421D86"/>
    <w:rsid w:val="004257AB"/>
    <w:rsid w:val="004259C5"/>
    <w:rsid w:val="00425B3A"/>
    <w:rsid w:val="0042667F"/>
    <w:rsid w:val="004300D9"/>
    <w:rsid w:val="00432634"/>
    <w:rsid w:val="004370A8"/>
    <w:rsid w:val="00440317"/>
    <w:rsid w:val="00442E0B"/>
    <w:rsid w:val="0044309E"/>
    <w:rsid w:val="0044330E"/>
    <w:rsid w:val="00444BE8"/>
    <w:rsid w:val="00445979"/>
    <w:rsid w:val="00445E5D"/>
    <w:rsid w:val="00445F6D"/>
    <w:rsid w:val="00447621"/>
    <w:rsid w:val="004507C5"/>
    <w:rsid w:val="00451119"/>
    <w:rsid w:val="00451713"/>
    <w:rsid w:val="00455B10"/>
    <w:rsid w:val="0045610E"/>
    <w:rsid w:val="004604F7"/>
    <w:rsid w:val="00460F29"/>
    <w:rsid w:val="004624C9"/>
    <w:rsid w:val="0046424A"/>
    <w:rsid w:val="00466173"/>
    <w:rsid w:val="004710EF"/>
    <w:rsid w:val="00476E7F"/>
    <w:rsid w:val="0047785A"/>
    <w:rsid w:val="00482248"/>
    <w:rsid w:val="00485DE3"/>
    <w:rsid w:val="00487378"/>
    <w:rsid w:val="00487ED5"/>
    <w:rsid w:val="00490C8F"/>
    <w:rsid w:val="0049529F"/>
    <w:rsid w:val="004956A7"/>
    <w:rsid w:val="004959FA"/>
    <w:rsid w:val="00497E43"/>
    <w:rsid w:val="004A050B"/>
    <w:rsid w:val="004A1C78"/>
    <w:rsid w:val="004A2238"/>
    <w:rsid w:val="004A392D"/>
    <w:rsid w:val="004A3A1E"/>
    <w:rsid w:val="004A3B0F"/>
    <w:rsid w:val="004A561C"/>
    <w:rsid w:val="004A5BD0"/>
    <w:rsid w:val="004A7C1D"/>
    <w:rsid w:val="004B0033"/>
    <w:rsid w:val="004B347D"/>
    <w:rsid w:val="004B4454"/>
    <w:rsid w:val="004B68E9"/>
    <w:rsid w:val="004B69F7"/>
    <w:rsid w:val="004C31CD"/>
    <w:rsid w:val="004C5DA3"/>
    <w:rsid w:val="004D4A91"/>
    <w:rsid w:val="004E0324"/>
    <w:rsid w:val="004E3343"/>
    <w:rsid w:val="004E3593"/>
    <w:rsid w:val="004E4920"/>
    <w:rsid w:val="004E4B64"/>
    <w:rsid w:val="004E5B42"/>
    <w:rsid w:val="004E6398"/>
    <w:rsid w:val="004F1B03"/>
    <w:rsid w:val="004F20C3"/>
    <w:rsid w:val="004F2351"/>
    <w:rsid w:val="004F7526"/>
    <w:rsid w:val="0050077C"/>
    <w:rsid w:val="00500D42"/>
    <w:rsid w:val="0050145F"/>
    <w:rsid w:val="00503E01"/>
    <w:rsid w:val="005054C6"/>
    <w:rsid w:val="00505810"/>
    <w:rsid w:val="00506129"/>
    <w:rsid w:val="00507B7E"/>
    <w:rsid w:val="00512795"/>
    <w:rsid w:val="00513D43"/>
    <w:rsid w:val="00515118"/>
    <w:rsid w:val="0051546E"/>
    <w:rsid w:val="00521F31"/>
    <w:rsid w:val="00522C6B"/>
    <w:rsid w:val="00523547"/>
    <w:rsid w:val="005239E2"/>
    <w:rsid w:val="00523E5B"/>
    <w:rsid w:val="0052491A"/>
    <w:rsid w:val="00525267"/>
    <w:rsid w:val="0052540A"/>
    <w:rsid w:val="00525839"/>
    <w:rsid w:val="00525B30"/>
    <w:rsid w:val="005308D5"/>
    <w:rsid w:val="0053377D"/>
    <w:rsid w:val="0053463D"/>
    <w:rsid w:val="0053673A"/>
    <w:rsid w:val="005414FC"/>
    <w:rsid w:val="00542264"/>
    <w:rsid w:val="005432AD"/>
    <w:rsid w:val="00543AE2"/>
    <w:rsid w:val="00546F0A"/>
    <w:rsid w:val="00547D29"/>
    <w:rsid w:val="0055361B"/>
    <w:rsid w:val="00554131"/>
    <w:rsid w:val="00555330"/>
    <w:rsid w:val="00556DE6"/>
    <w:rsid w:val="00557D67"/>
    <w:rsid w:val="005642C8"/>
    <w:rsid w:val="00565117"/>
    <w:rsid w:val="00567733"/>
    <w:rsid w:val="00573283"/>
    <w:rsid w:val="00573FEE"/>
    <w:rsid w:val="00575B6D"/>
    <w:rsid w:val="00575DC3"/>
    <w:rsid w:val="0057735C"/>
    <w:rsid w:val="00580C17"/>
    <w:rsid w:val="00581463"/>
    <w:rsid w:val="005826BB"/>
    <w:rsid w:val="005829D9"/>
    <w:rsid w:val="0058732F"/>
    <w:rsid w:val="00590A00"/>
    <w:rsid w:val="00592A9C"/>
    <w:rsid w:val="00593D1C"/>
    <w:rsid w:val="005A353B"/>
    <w:rsid w:val="005A3EF2"/>
    <w:rsid w:val="005A5E39"/>
    <w:rsid w:val="005A5FC6"/>
    <w:rsid w:val="005B3F27"/>
    <w:rsid w:val="005B5988"/>
    <w:rsid w:val="005C2B2C"/>
    <w:rsid w:val="005C6209"/>
    <w:rsid w:val="005D1A9E"/>
    <w:rsid w:val="005D6A03"/>
    <w:rsid w:val="005E1226"/>
    <w:rsid w:val="005E291D"/>
    <w:rsid w:val="005E32C4"/>
    <w:rsid w:val="005E4F99"/>
    <w:rsid w:val="005F01C3"/>
    <w:rsid w:val="005F09F5"/>
    <w:rsid w:val="005F0C29"/>
    <w:rsid w:val="005F16E8"/>
    <w:rsid w:val="005F2A80"/>
    <w:rsid w:val="005F7ED7"/>
    <w:rsid w:val="0060014B"/>
    <w:rsid w:val="00602008"/>
    <w:rsid w:val="0060350C"/>
    <w:rsid w:val="00603E0E"/>
    <w:rsid w:val="00604975"/>
    <w:rsid w:val="00605DB5"/>
    <w:rsid w:val="006071A2"/>
    <w:rsid w:val="00610362"/>
    <w:rsid w:val="00610B33"/>
    <w:rsid w:val="006116B3"/>
    <w:rsid w:val="006123BC"/>
    <w:rsid w:val="00613387"/>
    <w:rsid w:val="00615D58"/>
    <w:rsid w:val="006165F1"/>
    <w:rsid w:val="00616741"/>
    <w:rsid w:val="00620BDF"/>
    <w:rsid w:val="006229DF"/>
    <w:rsid w:val="00624B02"/>
    <w:rsid w:val="00626C5D"/>
    <w:rsid w:val="00631441"/>
    <w:rsid w:val="00632732"/>
    <w:rsid w:val="00633107"/>
    <w:rsid w:val="00636697"/>
    <w:rsid w:val="00637603"/>
    <w:rsid w:val="006413EB"/>
    <w:rsid w:val="00643FD1"/>
    <w:rsid w:val="0064624C"/>
    <w:rsid w:val="00650022"/>
    <w:rsid w:val="0065004E"/>
    <w:rsid w:val="00662AF0"/>
    <w:rsid w:val="006639FB"/>
    <w:rsid w:val="0066497B"/>
    <w:rsid w:val="00666886"/>
    <w:rsid w:val="006704B2"/>
    <w:rsid w:val="00670C3C"/>
    <w:rsid w:val="00670D56"/>
    <w:rsid w:val="006716D9"/>
    <w:rsid w:val="00672231"/>
    <w:rsid w:val="0067492A"/>
    <w:rsid w:val="00675B20"/>
    <w:rsid w:val="006770EE"/>
    <w:rsid w:val="0068401D"/>
    <w:rsid w:val="00686D3A"/>
    <w:rsid w:val="00687A6D"/>
    <w:rsid w:val="006900DF"/>
    <w:rsid w:val="0069132C"/>
    <w:rsid w:val="006915E5"/>
    <w:rsid w:val="0069288D"/>
    <w:rsid w:val="006954A2"/>
    <w:rsid w:val="00695E04"/>
    <w:rsid w:val="006975FA"/>
    <w:rsid w:val="00697747"/>
    <w:rsid w:val="006A19A3"/>
    <w:rsid w:val="006A5B3E"/>
    <w:rsid w:val="006B0C1B"/>
    <w:rsid w:val="006B3139"/>
    <w:rsid w:val="006B32AD"/>
    <w:rsid w:val="006B6ABD"/>
    <w:rsid w:val="006C1AC9"/>
    <w:rsid w:val="006C2665"/>
    <w:rsid w:val="006C37EE"/>
    <w:rsid w:val="006C3C4C"/>
    <w:rsid w:val="006C60F9"/>
    <w:rsid w:val="006C7751"/>
    <w:rsid w:val="006C7928"/>
    <w:rsid w:val="006D0A35"/>
    <w:rsid w:val="006D0D87"/>
    <w:rsid w:val="006D0F99"/>
    <w:rsid w:val="006D1805"/>
    <w:rsid w:val="006D18D1"/>
    <w:rsid w:val="006D310E"/>
    <w:rsid w:val="006D4F87"/>
    <w:rsid w:val="006D5590"/>
    <w:rsid w:val="006D5F73"/>
    <w:rsid w:val="006D69B1"/>
    <w:rsid w:val="006D72AA"/>
    <w:rsid w:val="006E041E"/>
    <w:rsid w:val="006E0D5E"/>
    <w:rsid w:val="006E11A7"/>
    <w:rsid w:val="006E32B7"/>
    <w:rsid w:val="006E5F52"/>
    <w:rsid w:val="006F0281"/>
    <w:rsid w:val="006F0D1B"/>
    <w:rsid w:val="006F1736"/>
    <w:rsid w:val="006F175B"/>
    <w:rsid w:val="006F1891"/>
    <w:rsid w:val="006F20C4"/>
    <w:rsid w:val="006F317B"/>
    <w:rsid w:val="006F4F24"/>
    <w:rsid w:val="006F6B49"/>
    <w:rsid w:val="007068C1"/>
    <w:rsid w:val="00710873"/>
    <w:rsid w:val="00710F1E"/>
    <w:rsid w:val="007116F9"/>
    <w:rsid w:val="007121CF"/>
    <w:rsid w:val="00714431"/>
    <w:rsid w:val="00715939"/>
    <w:rsid w:val="00716C04"/>
    <w:rsid w:val="00722730"/>
    <w:rsid w:val="00723667"/>
    <w:rsid w:val="00726084"/>
    <w:rsid w:val="00726B14"/>
    <w:rsid w:val="00730462"/>
    <w:rsid w:val="0073064A"/>
    <w:rsid w:val="007335B9"/>
    <w:rsid w:val="00734B7C"/>
    <w:rsid w:val="007350A9"/>
    <w:rsid w:val="00735787"/>
    <w:rsid w:val="007369C4"/>
    <w:rsid w:val="00736C26"/>
    <w:rsid w:val="00736D94"/>
    <w:rsid w:val="00740E34"/>
    <w:rsid w:val="007420E9"/>
    <w:rsid w:val="0074239B"/>
    <w:rsid w:val="00744E26"/>
    <w:rsid w:val="007465A4"/>
    <w:rsid w:val="00747898"/>
    <w:rsid w:val="007478A4"/>
    <w:rsid w:val="0075036B"/>
    <w:rsid w:val="00750C10"/>
    <w:rsid w:val="00751F50"/>
    <w:rsid w:val="00752BC9"/>
    <w:rsid w:val="00753147"/>
    <w:rsid w:val="00753242"/>
    <w:rsid w:val="00757E78"/>
    <w:rsid w:val="00760140"/>
    <w:rsid w:val="007615E0"/>
    <w:rsid w:val="00761962"/>
    <w:rsid w:val="007620E0"/>
    <w:rsid w:val="00765138"/>
    <w:rsid w:val="00765581"/>
    <w:rsid w:val="00765A29"/>
    <w:rsid w:val="00767151"/>
    <w:rsid w:val="00767348"/>
    <w:rsid w:val="00767BE4"/>
    <w:rsid w:val="007707B1"/>
    <w:rsid w:val="00770B77"/>
    <w:rsid w:val="00775AA5"/>
    <w:rsid w:val="00775E7E"/>
    <w:rsid w:val="00776272"/>
    <w:rsid w:val="00781315"/>
    <w:rsid w:val="007825FD"/>
    <w:rsid w:val="007832E2"/>
    <w:rsid w:val="00783646"/>
    <w:rsid w:val="007838D0"/>
    <w:rsid w:val="00784E0C"/>
    <w:rsid w:val="0078718D"/>
    <w:rsid w:val="0078794F"/>
    <w:rsid w:val="00794529"/>
    <w:rsid w:val="00794C32"/>
    <w:rsid w:val="00795B97"/>
    <w:rsid w:val="00795F54"/>
    <w:rsid w:val="00797CDF"/>
    <w:rsid w:val="007A0FF7"/>
    <w:rsid w:val="007A11E1"/>
    <w:rsid w:val="007A20FA"/>
    <w:rsid w:val="007A22CA"/>
    <w:rsid w:val="007A3822"/>
    <w:rsid w:val="007A3C5C"/>
    <w:rsid w:val="007A7744"/>
    <w:rsid w:val="007B1A1E"/>
    <w:rsid w:val="007B20FB"/>
    <w:rsid w:val="007B310D"/>
    <w:rsid w:val="007B37E6"/>
    <w:rsid w:val="007B419F"/>
    <w:rsid w:val="007C191B"/>
    <w:rsid w:val="007C5622"/>
    <w:rsid w:val="007C700D"/>
    <w:rsid w:val="007C757F"/>
    <w:rsid w:val="007D06C4"/>
    <w:rsid w:val="007D1D4F"/>
    <w:rsid w:val="007D6DDD"/>
    <w:rsid w:val="007D76D3"/>
    <w:rsid w:val="007F0B79"/>
    <w:rsid w:val="007F686F"/>
    <w:rsid w:val="007F6D7C"/>
    <w:rsid w:val="007F7DAD"/>
    <w:rsid w:val="00800F82"/>
    <w:rsid w:val="008042D7"/>
    <w:rsid w:val="00804C43"/>
    <w:rsid w:val="00804F51"/>
    <w:rsid w:val="00805168"/>
    <w:rsid w:val="00805FB6"/>
    <w:rsid w:val="008075A6"/>
    <w:rsid w:val="008109DE"/>
    <w:rsid w:val="00810C24"/>
    <w:rsid w:val="0081455A"/>
    <w:rsid w:val="008151A8"/>
    <w:rsid w:val="00817119"/>
    <w:rsid w:val="008223AF"/>
    <w:rsid w:val="00825226"/>
    <w:rsid w:val="008259D3"/>
    <w:rsid w:val="0083382D"/>
    <w:rsid w:val="00842245"/>
    <w:rsid w:val="00850580"/>
    <w:rsid w:val="008540A1"/>
    <w:rsid w:val="0085442F"/>
    <w:rsid w:val="008567B1"/>
    <w:rsid w:val="00860B45"/>
    <w:rsid w:val="00860D88"/>
    <w:rsid w:val="0086284B"/>
    <w:rsid w:val="00862F2D"/>
    <w:rsid w:val="00862FB2"/>
    <w:rsid w:val="008634C8"/>
    <w:rsid w:val="00865E4F"/>
    <w:rsid w:val="00875530"/>
    <w:rsid w:val="008770A7"/>
    <w:rsid w:val="008802BA"/>
    <w:rsid w:val="0088186D"/>
    <w:rsid w:val="00884646"/>
    <w:rsid w:val="00884EBA"/>
    <w:rsid w:val="00885975"/>
    <w:rsid w:val="008900CD"/>
    <w:rsid w:val="008903C2"/>
    <w:rsid w:val="00897A68"/>
    <w:rsid w:val="008A0D2F"/>
    <w:rsid w:val="008A27CA"/>
    <w:rsid w:val="008A4CB9"/>
    <w:rsid w:val="008A7E69"/>
    <w:rsid w:val="008B1978"/>
    <w:rsid w:val="008B473F"/>
    <w:rsid w:val="008C39CF"/>
    <w:rsid w:val="008C73A1"/>
    <w:rsid w:val="008D04BD"/>
    <w:rsid w:val="008D18E4"/>
    <w:rsid w:val="008D4CB0"/>
    <w:rsid w:val="008D7AB2"/>
    <w:rsid w:val="008E13BD"/>
    <w:rsid w:val="008E3F0B"/>
    <w:rsid w:val="008E420B"/>
    <w:rsid w:val="008E4B8D"/>
    <w:rsid w:val="008F11C1"/>
    <w:rsid w:val="008F1F9D"/>
    <w:rsid w:val="008F30D3"/>
    <w:rsid w:val="008F5BAD"/>
    <w:rsid w:val="008F7A4C"/>
    <w:rsid w:val="008F7D4A"/>
    <w:rsid w:val="00900161"/>
    <w:rsid w:val="00900624"/>
    <w:rsid w:val="00902CFE"/>
    <w:rsid w:val="00905388"/>
    <w:rsid w:val="009142A2"/>
    <w:rsid w:val="00914C97"/>
    <w:rsid w:val="00915310"/>
    <w:rsid w:val="00921D86"/>
    <w:rsid w:val="0092238F"/>
    <w:rsid w:val="0092416C"/>
    <w:rsid w:val="009248AC"/>
    <w:rsid w:val="00925A1A"/>
    <w:rsid w:val="00927016"/>
    <w:rsid w:val="0093220E"/>
    <w:rsid w:val="00932E74"/>
    <w:rsid w:val="00933310"/>
    <w:rsid w:val="00933AB9"/>
    <w:rsid w:val="00935D1C"/>
    <w:rsid w:val="0094085F"/>
    <w:rsid w:val="009423D8"/>
    <w:rsid w:val="00943AEF"/>
    <w:rsid w:val="009440D3"/>
    <w:rsid w:val="00944EBD"/>
    <w:rsid w:val="009471BD"/>
    <w:rsid w:val="009501FA"/>
    <w:rsid w:val="0095119F"/>
    <w:rsid w:val="0095265F"/>
    <w:rsid w:val="00960852"/>
    <w:rsid w:val="00960F73"/>
    <w:rsid w:val="009651CB"/>
    <w:rsid w:val="00966F37"/>
    <w:rsid w:val="009676B0"/>
    <w:rsid w:val="00975799"/>
    <w:rsid w:val="00975BE8"/>
    <w:rsid w:val="00975E7C"/>
    <w:rsid w:val="009764B2"/>
    <w:rsid w:val="00976721"/>
    <w:rsid w:val="00976ED0"/>
    <w:rsid w:val="00977597"/>
    <w:rsid w:val="00977716"/>
    <w:rsid w:val="00980185"/>
    <w:rsid w:val="0098249B"/>
    <w:rsid w:val="00983E4F"/>
    <w:rsid w:val="0098629C"/>
    <w:rsid w:val="00990333"/>
    <w:rsid w:val="00991536"/>
    <w:rsid w:val="0099257A"/>
    <w:rsid w:val="00993139"/>
    <w:rsid w:val="00995BD1"/>
    <w:rsid w:val="00997C72"/>
    <w:rsid w:val="009A007A"/>
    <w:rsid w:val="009A2BDA"/>
    <w:rsid w:val="009A4219"/>
    <w:rsid w:val="009A5A23"/>
    <w:rsid w:val="009A61AC"/>
    <w:rsid w:val="009A6DB3"/>
    <w:rsid w:val="009A71B7"/>
    <w:rsid w:val="009B1D0C"/>
    <w:rsid w:val="009B1D63"/>
    <w:rsid w:val="009B4CC6"/>
    <w:rsid w:val="009B5E18"/>
    <w:rsid w:val="009B659F"/>
    <w:rsid w:val="009B65DE"/>
    <w:rsid w:val="009B70C1"/>
    <w:rsid w:val="009B7827"/>
    <w:rsid w:val="009C08A4"/>
    <w:rsid w:val="009C1F21"/>
    <w:rsid w:val="009C2519"/>
    <w:rsid w:val="009C3B5A"/>
    <w:rsid w:val="009C42A4"/>
    <w:rsid w:val="009C6A0C"/>
    <w:rsid w:val="009C6DC6"/>
    <w:rsid w:val="009C778E"/>
    <w:rsid w:val="009D291E"/>
    <w:rsid w:val="009D40C4"/>
    <w:rsid w:val="009D59AA"/>
    <w:rsid w:val="009E3CC4"/>
    <w:rsid w:val="009E526F"/>
    <w:rsid w:val="009E5783"/>
    <w:rsid w:val="009E5D6E"/>
    <w:rsid w:val="009E6226"/>
    <w:rsid w:val="009F1902"/>
    <w:rsid w:val="00A03C05"/>
    <w:rsid w:val="00A04702"/>
    <w:rsid w:val="00A04BDA"/>
    <w:rsid w:val="00A05956"/>
    <w:rsid w:val="00A06042"/>
    <w:rsid w:val="00A06483"/>
    <w:rsid w:val="00A10621"/>
    <w:rsid w:val="00A11752"/>
    <w:rsid w:val="00A138FA"/>
    <w:rsid w:val="00A14D67"/>
    <w:rsid w:val="00A21C97"/>
    <w:rsid w:val="00A234D9"/>
    <w:rsid w:val="00A2621C"/>
    <w:rsid w:val="00A26DFE"/>
    <w:rsid w:val="00A270DB"/>
    <w:rsid w:val="00A31481"/>
    <w:rsid w:val="00A32452"/>
    <w:rsid w:val="00A32AC1"/>
    <w:rsid w:val="00A32E3A"/>
    <w:rsid w:val="00A3388F"/>
    <w:rsid w:val="00A367D7"/>
    <w:rsid w:val="00A36F90"/>
    <w:rsid w:val="00A40A72"/>
    <w:rsid w:val="00A42FFF"/>
    <w:rsid w:val="00A43EA1"/>
    <w:rsid w:val="00A44BB4"/>
    <w:rsid w:val="00A44C27"/>
    <w:rsid w:val="00A460C8"/>
    <w:rsid w:val="00A467BB"/>
    <w:rsid w:val="00A4736E"/>
    <w:rsid w:val="00A5018F"/>
    <w:rsid w:val="00A519BA"/>
    <w:rsid w:val="00A53304"/>
    <w:rsid w:val="00A6093B"/>
    <w:rsid w:val="00A60ACC"/>
    <w:rsid w:val="00A616AE"/>
    <w:rsid w:val="00A62380"/>
    <w:rsid w:val="00A627A9"/>
    <w:rsid w:val="00A63390"/>
    <w:rsid w:val="00A63955"/>
    <w:rsid w:val="00A66118"/>
    <w:rsid w:val="00A66D82"/>
    <w:rsid w:val="00A67759"/>
    <w:rsid w:val="00A728C4"/>
    <w:rsid w:val="00A772EE"/>
    <w:rsid w:val="00A77BE5"/>
    <w:rsid w:val="00A77D82"/>
    <w:rsid w:val="00A80991"/>
    <w:rsid w:val="00A82BF8"/>
    <w:rsid w:val="00A83B80"/>
    <w:rsid w:val="00A84A0A"/>
    <w:rsid w:val="00A85611"/>
    <w:rsid w:val="00A85DAF"/>
    <w:rsid w:val="00A86048"/>
    <w:rsid w:val="00A87396"/>
    <w:rsid w:val="00A93770"/>
    <w:rsid w:val="00A963FC"/>
    <w:rsid w:val="00A976B8"/>
    <w:rsid w:val="00A97AE4"/>
    <w:rsid w:val="00AA0058"/>
    <w:rsid w:val="00AA0242"/>
    <w:rsid w:val="00AA3873"/>
    <w:rsid w:val="00AA6EF3"/>
    <w:rsid w:val="00AB6441"/>
    <w:rsid w:val="00AC2E31"/>
    <w:rsid w:val="00AC3633"/>
    <w:rsid w:val="00AD1F3B"/>
    <w:rsid w:val="00AD308C"/>
    <w:rsid w:val="00AD3A65"/>
    <w:rsid w:val="00AD3C38"/>
    <w:rsid w:val="00AD4F99"/>
    <w:rsid w:val="00AD5346"/>
    <w:rsid w:val="00AD5788"/>
    <w:rsid w:val="00AD5A9A"/>
    <w:rsid w:val="00AD6DD9"/>
    <w:rsid w:val="00AD71CE"/>
    <w:rsid w:val="00AD774C"/>
    <w:rsid w:val="00AE1379"/>
    <w:rsid w:val="00AE1BAF"/>
    <w:rsid w:val="00AE5109"/>
    <w:rsid w:val="00AE5172"/>
    <w:rsid w:val="00AE65E2"/>
    <w:rsid w:val="00AF67EF"/>
    <w:rsid w:val="00B022CB"/>
    <w:rsid w:val="00B0319E"/>
    <w:rsid w:val="00B035DB"/>
    <w:rsid w:val="00B040CD"/>
    <w:rsid w:val="00B05FDF"/>
    <w:rsid w:val="00B065E2"/>
    <w:rsid w:val="00B07345"/>
    <w:rsid w:val="00B113F3"/>
    <w:rsid w:val="00B11A18"/>
    <w:rsid w:val="00B11BD5"/>
    <w:rsid w:val="00B127A1"/>
    <w:rsid w:val="00B13511"/>
    <w:rsid w:val="00B13FFF"/>
    <w:rsid w:val="00B1481F"/>
    <w:rsid w:val="00B15E91"/>
    <w:rsid w:val="00B20010"/>
    <w:rsid w:val="00B215D5"/>
    <w:rsid w:val="00B22500"/>
    <w:rsid w:val="00B23817"/>
    <w:rsid w:val="00B24B82"/>
    <w:rsid w:val="00B254F9"/>
    <w:rsid w:val="00B26737"/>
    <w:rsid w:val="00B26CDF"/>
    <w:rsid w:val="00B27F7B"/>
    <w:rsid w:val="00B32369"/>
    <w:rsid w:val="00B368DD"/>
    <w:rsid w:val="00B37876"/>
    <w:rsid w:val="00B403C9"/>
    <w:rsid w:val="00B40724"/>
    <w:rsid w:val="00B40797"/>
    <w:rsid w:val="00B4082D"/>
    <w:rsid w:val="00B452CF"/>
    <w:rsid w:val="00B507D6"/>
    <w:rsid w:val="00B519FA"/>
    <w:rsid w:val="00B51D9F"/>
    <w:rsid w:val="00B529FC"/>
    <w:rsid w:val="00B535C9"/>
    <w:rsid w:val="00B55687"/>
    <w:rsid w:val="00B56244"/>
    <w:rsid w:val="00B562F5"/>
    <w:rsid w:val="00B566A4"/>
    <w:rsid w:val="00B57173"/>
    <w:rsid w:val="00B5725F"/>
    <w:rsid w:val="00B5796B"/>
    <w:rsid w:val="00B603BD"/>
    <w:rsid w:val="00B62344"/>
    <w:rsid w:val="00B630C7"/>
    <w:rsid w:val="00B6441A"/>
    <w:rsid w:val="00B65171"/>
    <w:rsid w:val="00B70A6B"/>
    <w:rsid w:val="00B71360"/>
    <w:rsid w:val="00B718E1"/>
    <w:rsid w:val="00B729C3"/>
    <w:rsid w:val="00B759FE"/>
    <w:rsid w:val="00B77D5B"/>
    <w:rsid w:val="00B80F32"/>
    <w:rsid w:val="00B84B42"/>
    <w:rsid w:val="00B84C33"/>
    <w:rsid w:val="00B85264"/>
    <w:rsid w:val="00B866BC"/>
    <w:rsid w:val="00B86D96"/>
    <w:rsid w:val="00B91F09"/>
    <w:rsid w:val="00B92738"/>
    <w:rsid w:val="00B93223"/>
    <w:rsid w:val="00B9583C"/>
    <w:rsid w:val="00BA0585"/>
    <w:rsid w:val="00BA0DFA"/>
    <w:rsid w:val="00BA7D43"/>
    <w:rsid w:val="00BB0397"/>
    <w:rsid w:val="00BB076D"/>
    <w:rsid w:val="00BB6083"/>
    <w:rsid w:val="00BB6469"/>
    <w:rsid w:val="00BC0B99"/>
    <w:rsid w:val="00BC43E6"/>
    <w:rsid w:val="00BC4AFD"/>
    <w:rsid w:val="00BC7C86"/>
    <w:rsid w:val="00BD16EC"/>
    <w:rsid w:val="00BD272D"/>
    <w:rsid w:val="00BD2F85"/>
    <w:rsid w:val="00BD3425"/>
    <w:rsid w:val="00BD47A5"/>
    <w:rsid w:val="00BD4E74"/>
    <w:rsid w:val="00BD592D"/>
    <w:rsid w:val="00BD6B95"/>
    <w:rsid w:val="00BD7423"/>
    <w:rsid w:val="00BE029D"/>
    <w:rsid w:val="00BE407C"/>
    <w:rsid w:val="00BE64A1"/>
    <w:rsid w:val="00BF0C91"/>
    <w:rsid w:val="00BF2FFC"/>
    <w:rsid w:val="00BF324A"/>
    <w:rsid w:val="00BF5985"/>
    <w:rsid w:val="00C029AC"/>
    <w:rsid w:val="00C037F6"/>
    <w:rsid w:val="00C05815"/>
    <w:rsid w:val="00C07D93"/>
    <w:rsid w:val="00C105E4"/>
    <w:rsid w:val="00C11B70"/>
    <w:rsid w:val="00C12062"/>
    <w:rsid w:val="00C13539"/>
    <w:rsid w:val="00C1357F"/>
    <w:rsid w:val="00C13C78"/>
    <w:rsid w:val="00C141B8"/>
    <w:rsid w:val="00C1548B"/>
    <w:rsid w:val="00C15C27"/>
    <w:rsid w:val="00C20C16"/>
    <w:rsid w:val="00C229CC"/>
    <w:rsid w:val="00C23280"/>
    <w:rsid w:val="00C314F8"/>
    <w:rsid w:val="00C31CDB"/>
    <w:rsid w:val="00C320F3"/>
    <w:rsid w:val="00C328D1"/>
    <w:rsid w:val="00C33011"/>
    <w:rsid w:val="00C35786"/>
    <w:rsid w:val="00C357A4"/>
    <w:rsid w:val="00C35EBC"/>
    <w:rsid w:val="00C442F5"/>
    <w:rsid w:val="00C476B0"/>
    <w:rsid w:val="00C503B3"/>
    <w:rsid w:val="00C553E4"/>
    <w:rsid w:val="00C56D12"/>
    <w:rsid w:val="00C64449"/>
    <w:rsid w:val="00C6494F"/>
    <w:rsid w:val="00C66C39"/>
    <w:rsid w:val="00C67F32"/>
    <w:rsid w:val="00C67FA7"/>
    <w:rsid w:val="00C701EF"/>
    <w:rsid w:val="00C71E8F"/>
    <w:rsid w:val="00C74765"/>
    <w:rsid w:val="00C759C2"/>
    <w:rsid w:val="00C7752A"/>
    <w:rsid w:val="00C8331E"/>
    <w:rsid w:val="00C8488E"/>
    <w:rsid w:val="00C87E4B"/>
    <w:rsid w:val="00C90961"/>
    <w:rsid w:val="00C9123B"/>
    <w:rsid w:val="00C92887"/>
    <w:rsid w:val="00C93AB7"/>
    <w:rsid w:val="00C9410C"/>
    <w:rsid w:val="00C94DC3"/>
    <w:rsid w:val="00C95C7D"/>
    <w:rsid w:val="00CA1853"/>
    <w:rsid w:val="00CA4342"/>
    <w:rsid w:val="00CA48AA"/>
    <w:rsid w:val="00CB0B37"/>
    <w:rsid w:val="00CB1168"/>
    <w:rsid w:val="00CB2856"/>
    <w:rsid w:val="00CB2BEC"/>
    <w:rsid w:val="00CB3BF1"/>
    <w:rsid w:val="00CC034D"/>
    <w:rsid w:val="00CC0E20"/>
    <w:rsid w:val="00CC17B3"/>
    <w:rsid w:val="00CC212E"/>
    <w:rsid w:val="00CC4C08"/>
    <w:rsid w:val="00CC5886"/>
    <w:rsid w:val="00CC7ACF"/>
    <w:rsid w:val="00CD089F"/>
    <w:rsid w:val="00CD109D"/>
    <w:rsid w:val="00CD213F"/>
    <w:rsid w:val="00CD3CFA"/>
    <w:rsid w:val="00CD4F42"/>
    <w:rsid w:val="00CD64D2"/>
    <w:rsid w:val="00CE10FC"/>
    <w:rsid w:val="00CE1C03"/>
    <w:rsid w:val="00CE213F"/>
    <w:rsid w:val="00CE304E"/>
    <w:rsid w:val="00CE3E93"/>
    <w:rsid w:val="00CE55F2"/>
    <w:rsid w:val="00CE59D5"/>
    <w:rsid w:val="00CE6192"/>
    <w:rsid w:val="00CE78D0"/>
    <w:rsid w:val="00CF0CF0"/>
    <w:rsid w:val="00CF1378"/>
    <w:rsid w:val="00CF1F3D"/>
    <w:rsid w:val="00CF4EF6"/>
    <w:rsid w:val="00CF5713"/>
    <w:rsid w:val="00CF7C8D"/>
    <w:rsid w:val="00D01EF5"/>
    <w:rsid w:val="00D01FB0"/>
    <w:rsid w:val="00D02192"/>
    <w:rsid w:val="00D03152"/>
    <w:rsid w:val="00D033F6"/>
    <w:rsid w:val="00D1450B"/>
    <w:rsid w:val="00D151D5"/>
    <w:rsid w:val="00D16C07"/>
    <w:rsid w:val="00D16F39"/>
    <w:rsid w:val="00D175EA"/>
    <w:rsid w:val="00D20C7C"/>
    <w:rsid w:val="00D21797"/>
    <w:rsid w:val="00D21F05"/>
    <w:rsid w:val="00D2381C"/>
    <w:rsid w:val="00D2469C"/>
    <w:rsid w:val="00D27370"/>
    <w:rsid w:val="00D30680"/>
    <w:rsid w:val="00D31232"/>
    <w:rsid w:val="00D32058"/>
    <w:rsid w:val="00D3270E"/>
    <w:rsid w:val="00D32DAD"/>
    <w:rsid w:val="00D406BC"/>
    <w:rsid w:val="00D40A3A"/>
    <w:rsid w:val="00D40DE6"/>
    <w:rsid w:val="00D4257A"/>
    <w:rsid w:val="00D42B0B"/>
    <w:rsid w:val="00D4530A"/>
    <w:rsid w:val="00D47791"/>
    <w:rsid w:val="00D47866"/>
    <w:rsid w:val="00D47A1A"/>
    <w:rsid w:val="00D47DA5"/>
    <w:rsid w:val="00D51B75"/>
    <w:rsid w:val="00D547A9"/>
    <w:rsid w:val="00D5512B"/>
    <w:rsid w:val="00D56379"/>
    <w:rsid w:val="00D57A85"/>
    <w:rsid w:val="00D60180"/>
    <w:rsid w:val="00D60BC7"/>
    <w:rsid w:val="00D612A6"/>
    <w:rsid w:val="00D634CA"/>
    <w:rsid w:val="00D645F7"/>
    <w:rsid w:val="00D651C8"/>
    <w:rsid w:val="00D66982"/>
    <w:rsid w:val="00D7159C"/>
    <w:rsid w:val="00D80FC3"/>
    <w:rsid w:val="00D81347"/>
    <w:rsid w:val="00D82E4C"/>
    <w:rsid w:val="00D83F89"/>
    <w:rsid w:val="00D84486"/>
    <w:rsid w:val="00D84AF0"/>
    <w:rsid w:val="00D851A4"/>
    <w:rsid w:val="00D8662D"/>
    <w:rsid w:val="00D86B58"/>
    <w:rsid w:val="00D87B6C"/>
    <w:rsid w:val="00D9300B"/>
    <w:rsid w:val="00D943A2"/>
    <w:rsid w:val="00D943D2"/>
    <w:rsid w:val="00D950CD"/>
    <w:rsid w:val="00DA16D3"/>
    <w:rsid w:val="00DA225A"/>
    <w:rsid w:val="00DA706A"/>
    <w:rsid w:val="00DA74E0"/>
    <w:rsid w:val="00DB0A17"/>
    <w:rsid w:val="00DB0A90"/>
    <w:rsid w:val="00DB0D31"/>
    <w:rsid w:val="00DB2CD5"/>
    <w:rsid w:val="00DB474B"/>
    <w:rsid w:val="00DB4F93"/>
    <w:rsid w:val="00DB6F6F"/>
    <w:rsid w:val="00DB7398"/>
    <w:rsid w:val="00DC2E53"/>
    <w:rsid w:val="00DC39A6"/>
    <w:rsid w:val="00DD0FC5"/>
    <w:rsid w:val="00DD3EDE"/>
    <w:rsid w:val="00DD3F56"/>
    <w:rsid w:val="00DD40FE"/>
    <w:rsid w:val="00DD4841"/>
    <w:rsid w:val="00DD5425"/>
    <w:rsid w:val="00DE0C53"/>
    <w:rsid w:val="00DE0D7E"/>
    <w:rsid w:val="00DE3E84"/>
    <w:rsid w:val="00DE3EA0"/>
    <w:rsid w:val="00DE3ED7"/>
    <w:rsid w:val="00DE4378"/>
    <w:rsid w:val="00DE65A1"/>
    <w:rsid w:val="00DF44A4"/>
    <w:rsid w:val="00DF5864"/>
    <w:rsid w:val="00DF656F"/>
    <w:rsid w:val="00DF756F"/>
    <w:rsid w:val="00E0203C"/>
    <w:rsid w:val="00E03814"/>
    <w:rsid w:val="00E04A93"/>
    <w:rsid w:val="00E05297"/>
    <w:rsid w:val="00E06193"/>
    <w:rsid w:val="00E062DF"/>
    <w:rsid w:val="00E06936"/>
    <w:rsid w:val="00E075CD"/>
    <w:rsid w:val="00E11323"/>
    <w:rsid w:val="00E16EFC"/>
    <w:rsid w:val="00E178FB"/>
    <w:rsid w:val="00E2467E"/>
    <w:rsid w:val="00E25389"/>
    <w:rsid w:val="00E25B54"/>
    <w:rsid w:val="00E2651A"/>
    <w:rsid w:val="00E304FA"/>
    <w:rsid w:val="00E30BD2"/>
    <w:rsid w:val="00E318C4"/>
    <w:rsid w:val="00E323A4"/>
    <w:rsid w:val="00E32653"/>
    <w:rsid w:val="00E33A01"/>
    <w:rsid w:val="00E342AB"/>
    <w:rsid w:val="00E35102"/>
    <w:rsid w:val="00E40297"/>
    <w:rsid w:val="00E40538"/>
    <w:rsid w:val="00E41D53"/>
    <w:rsid w:val="00E4433E"/>
    <w:rsid w:val="00E451C7"/>
    <w:rsid w:val="00E4726F"/>
    <w:rsid w:val="00E500BE"/>
    <w:rsid w:val="00E519CC"/>
    <w:rsid w:val="00E532F7"/>
    <w:rsid w:val="00E53A6C"/>
    <w:rsid w:val="00E566ED"/>
    <w:rsid w:val="00E57CB5"/>
    <w:rsid w:val="00E60193"/>
    <w:rsid w:val="00E60E9B"/>
    <w:rsid w:val="00E61786"/>
    <w:rsid w:val="00E621D6"/>
    <w:rsid w:val="00E63103"/>
    <w:rsid w:val="00E67995"/>
    <w:rsid w:val="00E73182"/>
    <w:rsid w:val="00E73CF2"/>
    <w:rsid w:val="00E76FD7"/>
    <w:rsid w:val="00E77DFD"/>
    <w:rsid w:val="00E852D6"/>
    <w:rsid w:val="00E856A1"/>
    <w:rsid w:val="00E87E12"/>
    <w:rsid w:val="00E9082C"/>
    <w:rsid w:val="00E9186A"/>
    <w:rsid w:val="00E91958"/>
    <w:rsid w:val="00E927F1"/>
    <w:rsid w:val="00E94012"/>
    <w:rsid w:val="00E943CA"/>
    <w:rsid w:val="00E946F4"/>
    <w:rsid w:val="00E9543D"/>
    <w:rsid w:val="00E95868"/>
    <w:rsid w:val="00E95D20"/>
    <w:rsid w:val="00E97AA8"/>
    <w:rsid w:val="00EA2AD9"/>
    <w:rsid w:val="00EA3BF5"/>
    <w:rsid w:val="00EA6C10"/>
    <w:rsid w:val="00EB2185"/>
    <w:rsid w:val="00EB3906"/>
    <w:rsid w:val="00EB40FD"/>
    <w:rsid w:val="00EB54EE"/>
    <w:rsid w:val="00EB6939"/>
    <w:rsid w:val="00EB7EA5"/>
    <w:rsid w:val="00EC0158"/>
    <w:rsid w:val="00EC0746"/>
    <w:rsid w:val="00EC3BF4"/>
    <w:rsid w:val="00EC4699"/>
    <w:rsid w:val="00EC5884"/>
    <w:rsid w:val="00ED0F45"/>
    <w:rsid w:val="00ED123F"/>
    <w:rsid w:val="00ED39BD"/>
    <w:rsid w:val="00ED4066"/>
    <w:rsid w:val="00ED50BF"/>
    <w:rsid w:val="00ED662C"/>
    <w:rsid w:val="00ED6A60"/>
    <w:rsid w:val="00EE03F7"/>
    <w:rsid w:val="00EF0ED6"/>
    <w:rsid w:val="00EF159C"/>
    <w:rsid w:val="00EF1F0C"/>
    <w:rsid w:val="00EF2279"/>
    <w:rsid w:val="00EF30EB"/>
    <w:rsid w:val="00EF45CF"/>
    <w:rsid w:val="00EF5E03"/>
    <w:rsid w:val="00EF6575"/>
    <w:rsid w:val="00EF6A1F"/>
    <w:rsid w:val="00F01D34"/>
    <w:rsid w:val="00F039F9"/>
    <w:rsid w:val="00F04136"/>
    <w:rsid w:val="00F06D4A"/>
    <w:rsid w:val="00F07AF2"/>
    <w:rsid w:val="00F07E46"/>
    <w:rsid w:val="00F12A89"/>
    <w:rsid w:val="00F133BC"/>
    <w:rsid w:val="00F14E15"/>
    <w:rsid w:val="00F14EB6"/>
    <w:rsid w:val="00F15A82"/>
    <w:rsid w:val="00F16C83"/>
    <w:rsid w:val="00F17B57"/>
    <w:rsid w:val="00F32C54"/>
    <w:rsid w:val="00F3324A"/>
    <w:rsid w:val="00F33F3E"/>
    <w:rsid w:val="00F34119"/>
    <w:rsid w:val="00F3588C"/>
    <w:rsid w:val="00F40351"/>
    <w:rsid w:val="00F425C8"/>
    <w:rsid w:val="00F43D1A"/>
    <w:rsid w:val="00F446B8"/>
    <w:rsid w:val="00F44FB4"/>
    <w:rsid w:val="00F507FE"/>
    <w:rsid w:val="00F52C69"/>
    <w:rsid w:val="00F557FC"/>
    <w:rsid w:val="00F60DF8"/>
    <w:rsid w:val="00F61F85"/>
    <w:rsid w:val="00F62893"/>
    <w:rsid w:val="00F65328"/>
    <w:rsid w:val="00F665A2"/>
    <w:rsid w:val="00F66F47"/>
    <w:rsid w:val="00F66FA4"/>
    <w:rsid w:val="00F6746B"/>
    <w:rsid w:val="00F72078"/>
    <w:rsid w:val="00F73EAB"/>
    <w:rsid w:val="00F74089"/>
    <w:rsid w:val="00F75425"/>
    <w:rsid w:val="00F76390"/>
    <w:rsid w:val="00F80531"/>
    <w:rsid w:val="00F8110A"/>
    <w:rsid w:val="00F812C7"/>
    <w:rsid w:val="00F850A5"/>
    <w:rsid w:val="00F85186"/>
    <w:rsid w:val="00F8786C"/>
    <w:rsid w:val="00F87A1E"/>
    <w:rsid w:val="00F91391"/>
    <w:rsid w:val="00F92925"/>
    <w:rsid w:val="00F9723D"/>
    <w:rsid w:val="00F97D3D"/>
    <w:rsid w:val="00FA0A40"/>
    <w:rsid w:val="00FA13A4"/>
    <w:rsid w:val="00FA1875"/>
    <w:rsid w:val="00FA23B7"/>
    <w:rsid w:val="00FA26F4"/>
    <w:rsid w:val="00FA27F1"/>
    <w:rsid w:val="00FA4B0A"/>
    <w:rsid w:val="00FA4F22"/>
    <w:rsid w:val="00FA5E17"/>
    <w:rsid w:val="00FA62DB"/>
    <w:rsid w:val="00FA6580"/>
    <w:rsid w:val="00FB045A"/>
    <w:rsid w:val="00FB11EB"/>
    <w:rsid w:val="00FB238B"/>
    <w:rsid w:val="00FB2422"/>
    <w:rsid w:val="00FB295F"/>
    <w:rsid w:val="00FB3FAB"/>
    <w:rsid w:val="00FB5809"/>
    <w:rsid w:val="00FB6CF9"/>
    <w:rsid w:val="00FB7809"/>
    <w:rsid w:val="00FC0AEE"/>
    <w:rsid w:val="00FC0D2B"/>
    <w:rsid w:val="00FC1189"/>
    <w:rsid w:val="00FC231D"/>
    <w:rsid w:val="00FC2EC1"/>
    <w:rsid w:val="00FC32D7"/>
    <w:rsid w:val="00FC45FB"/>
    <w:rsid w:val="00FC4BF3"/>
    <w:rsid w:val="00FD0ABA"/>
    <w:rsid w:val="00FD1714"/>
    <w:rsid w:val="00FD1B7E"/>
    <w:rsid w:val="00FD2FD7"/>
    <w:rsid w:val="00FD41A7"/>
    <w:rsid w:val="00FE082F"/>
    <w:rsid w:val="00FE21E1"/>
    <w:rsid w:val="00FE25ED"/>
    <w:rsid w:val="00FE363E"/>
    <w:rsid w:val="00FE45DC"/>
    <w:rsid w:val="00FE62BC"/>
    <w:rsid w:val="00FE6508"/>
    <w:rsid w:val="00FF1D36"/>
    <w:rsid w:val="00FF266C"/>
    <w:rsid w:val="00FF5AE9"/>
    <w:rsid w:val="00FF6E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3A7859"/>
  <w15:docId w15:val="{3A887D46-0AA4-41FC-B956-D3DCBDCE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EFC"/>
    <w:rPr>
      <w:sz w:val="24"/>
    </w:rPr>
  </w:style>
  <w:style w:type="paragraph" w:styleId="Heading1">
    <w:name w:val="heading 1"/>
    <w:basedOn w:val="Normal"/>
    <w:next w:val="Normal"/>
    <w:link w:val="Heading1Char"/>
    <w:uiPriority w:val="9"/>
    <w:qFormat/>
    <w:rsid w:val="0035152F"/>
    <w:pPr>
      <w:spacing w:before="480" w:after="0"/>
      <w:contextualSpacing/>
      <w:jc w:val="center"/>
      <w:outlineLvl w:val="0"/>
    </w:pPr>
    <w:rPr>
      <w:rFonts w:asciiTheme="majorHAnsi" w:eastAsia="Times New Roman" w:hAnsiTheme="majorHAnsi" w:cstheme="majorBidi"/>
      <w:b/>
      <w:bCs/>
      <w:sz w:val="36"/>
      <w:szCs w:val="28"/>
    </w:rPr>
  </w:style>
  <w:style w:type="paragraph" w:styleId="Heading2">
    <w:name w:val="heading 2"/>
    <w:basedOn w:val="Normal"/>
    <w:next w:val="Normal"/>
    <w:link w:val="Heading2Char"/>
    <w:uiPriority w:val="9"/>
    <w:unhideWhenUsed/>
    <w:qFormat/>
    <w:rsid w:val="0035152F"/>
    <w:pPr>
      <w:spacing w:after="0" w:line="240" w:lineRule="auto"/>
      <w:outlineLvl w:val="1"/>
    </w:pPr>
    <w:rPr>
      <w:rFonts w:ascii="Arial" w:eastAsia="Times New Roman" w:hAnsi="Arial" w:cs="Arial"/>
      <w:b/>
      <w:szCs w:val="24"/>
    </w:rPr>
  </w:style>
  <w:style w:type="paragraph" w:styleId="Heading3">
    <w:name w:val="heading 3"/>
    <w:basedOn w:val="Normal"/>
    <w:next w:val="Normal"/>
    <w:link w:val="Heading3Char"/>
    <w:uiPriority w:val="9"/>
    <w:unhideWhenUsed/>
    <w:qFormat/>
    <w:rsid w:val="0078718D"/>
    <w:pPr>
      <w:outlineLvl w:val="2"/>
    </w:pPr>
    <w:rPr>
      <w:rFonts w:ascii="Arial" w:eastAsia="Times New Roman" w:hAnsi="Arial" w:cs="Times New Roman"/>
      <w:b/>
      <w:szCs w:val="24"/>
      <w:lang w:val="en-GB"/>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152F"/>
    <w:rPr>
      <w:rFonts w:asciiTheme="majorHAnsi" w:eastAsia="Times New Roman" w:hAnsiTheme="majorHAnsi" w:cstheme="majorBidi"/>
      <w:b/>
      <w:bCs/>
      <w:sz w:val="36"/>
      <w:szCs w:val="28"/>
    </w:rPr>
  </w:style>
  <w:style w:type="character" w:customStyle="1" w:styleId="Heading2Char">
    <w:name w:val="Heading 2 Char"/>
    <w:basedOn w:val="DefaultParagraphFont"/>
    <w:link w:val="Heading2"/>
    <w:uiPriority w:val="9"/>
    <w:rsid w:val="0035152F"/>
    <w:rPr>
      <w:rFonts w:ascii="Arial" w:eastAsia="Times New Roman" w:hAnsi="Arial" w:cs="Arial"/>
      <w:b/>
      <w:sz w:val="24"/>
      <w:szCs w:val="24"/>
    </w:rPr>
  </w:style>
  <w:style w:type="character" w:customStyle="1" w:styleId="Heading3Char">
    <w:name w:val="Heading 3 Char"/>
    <w:basedOn w:val="DefaultParagraphFont"/>
    <w:link w:val="Heading3"/>
    <w:uiPriority w:val="9"/>
    <w:rsid w:val="0078718D"/>
    <w:rPr>
      <w:rFonts w:ascii="Arial" w:eastAsia="Times New Roman" w:hAnsi="Arial" w:cs="Times New Roman"/>
      <w:b/>
      <w:sz w:val="24"/>
      <w:szCs w:val="24"/>
      <w:lang w:val="en-GB"/>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link w:val="NoSpacingChar"/>
    <w:uiPriority w:val="1"/>
    <w:qFormat/>
    <w:rsid w:val="00FE363E"/>
    <w:pPr>
      <w:spacing w:after="0" w:line="240" w:lineRule="auto"/>
    </w:pPr>
    <w:rPr>
      <w:sz w:val="24"/>
    </w:rPr>
  </w:style>
  <w:style w:type="paragraph" w:styleId="ListParagraph">
    <w:name w:val="List Paragraph"/>
    <w:basedOn w:val="Normal"/>
    <w:uiPriority w:val="34"/>
    <w:qFormat/>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paragraph" w:styleId="FootnoteText">
    <w:name w:val="footnote text"/>
    <w:basedOn w:val="Normal"/>
    <w:link w:val="FootnoteTextChar"/>
    <w:uiPriority w:val="99"/>
    <w:semiHidden/>
    <w:unhideWhenUsed/>
    <w:rsid w:val="009C08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08A4"/>
    <w:rPr>
      <w:sz w:val="20"/>
      <w:szCs w:val="20"/>
    </w:rPr>
  </w:style>
  <w:style w:type="character" w:styleId="FootnoteReference">
    <w:name w:val="footnote reference"/>
    <w:basedOn w:val="DefaultParagraphFont"/>
    <w:uiPriority w:val="99"/>
    <w:semiHidden/>
    <w:unhideWhenUsed/>
    <w:rsid w:val="009C08A4"/>
    <w:rPr>
      <w:vertAlign w:val="superscript"/>
    </w:rPr>
  </w:style>
  <w:style w:type="character" w:styleId="Hyperlink">
    <w:name w:val="Hyperlink"/>
    <w:basedOn w:val="DefaultParagraphFont"/>
    <w:uiPriority w:val="99"/>
    <w:unhideWhenUsed/>
    <w:rsid w:val="001D76A0"/>
    <w:rPr>
      <w:color w:val="5F5F5F" w:themeColor="hyperlink"/>
      <w:u w:val="single"/>
    </w:rPr>
  </w:style>
  <w:style w:type="character" w:styleId="UnresolvedMention">
    <w:name w:val="Unresolved Mention"/>
    <w:basedOn w:val="DefaultParagraphFont"/>
    <w:uiPriority w:val="99"/>
    <w:semiHidden/>
    <w:unhideWhenUsed/>
    <w:rsid w:val="001D76A0"/>
    <w:rPr>
      <w:color w:val="605E5C"/>
      <w:shd w:val="clear" w:color="auto" w:fill="E1DFDD"/>
    </w:rPr>
  </w:style>
  <w:style w:type="table" w:styleId="TableGrid">
    <w:name w:val="Table Grid"/>
    <w:basedOn w:val="TableNormal"/>
    <w:uiPriority w:val="59"/>
    <w:rsid w:val="00217122"/>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03814"/>
    <w:rPr>
      <w:sz w:val="16"/>
      <w:szCs w:val="16"/>
    </w:rPr>
  </w:style>
  <w:style w:type="paragraph" w:styleId="CommentText">
    <w:name w:val="annotation text"/>
    <w:basedOn w:val="Normal"/>
    <w:link w:val="CommentTextChar"/>
    <w:uiPriority w:val="99"/>
    <w:semiHidden/>
    <w:unhideWhenUsed/>
    <w:rsid w:val="00E03814"/>
    <w:pPr>
      <w:spacing w:line="240" w:lineRule="auto"/>
    </w:pPr>
    <w:rPr>
      <w:sz w:val="20"/>
      <w:szCs w:val="20"/>
    </w:rPr>
  </w:style>
  <w:style w:type="character" w:customStyle="1" w:styleId="CommentTextChar">
    <w:name w:val="Comment Text Char"/>
    <w:basedOn w:val="DefaultParagraphFont"/>
    <w:link w:val="CommentText"/>
    <w:uiPriority w:val="99"/>
    <w:semiHidden/>
    <w:rsid w:val="00E03814"/>
    <w:rPr>
      <w:sz w:val="20"/>
      <w:szCs w:val="20"/>
    </w:rPr>
  </w:style>
  <w:style w:type="paragraph" w:styleId="CommentSubject">
    <w:name w:val="annotation subject"/>
    <w:basedOn w:val="CommentText"/>
    <w:next w:val="CommentText"/>
    <w:link w:val="CommentSubjectChar"/>
    <w:uiPriority w:val="99"/>
    <w:semiHidden/>
    <w:unhideWhenUsed/>
    <w:rsid w:val="00E03814"/>
    <w:rPr>
      <w:b/>
      <w:bCs/>
    </w:rPr>
  </w:style>
  <w:style w:type="character" w:customStyle="1" w:styleId="CommentSubjectChar">
    <w:name w:val="Comment Subject Char"/>
    <w:basedOn w:val="CommentTextChar"/>
    <w:link w:val="CommentSubject"/>
    <w:uiPriority w:val="99"/>
    <w:semiHidden/>
    <w:rsid w:val="00E03814"/>
    <w:rPr>
      <w:b/>
      <w:bCs/>
      <w:sz w:val="20"/>
      <w:szCs w:val="20"/>
    </w:rPr>
  </w:style>
  <w:style w:type="paragraph" w:styleId="Revision">
    <w:name w:val="Revision"/>
    <w:hidden/>
    <w:uiPriority w:val="99"/>
    <w:semiHidden/>
    <w:rsid w:val="00E03814"/>
    <w:pPr>
      <w:spacing w:after="0" w:line="240" w:lineRule="auto"/>
    </w:pPr>
    <w:rPr>
      <w:sz w:val="24"/>
    </w:rPr>
  </w:style>
  <w:style w:type="paragraph" w:customStyle="1" w:styleId="Default">
    <w:name w:val="Default"/>
    <w:rsid w:val="00CA4342"/>
    <w:pPr>
      <w:autoSpaceDE w:val="0"/>
      <w:autoSpaceDN w:val="0"/>
      <w:adjustRightInd w:val="0"/>
      <w:spacing w:after="0" w:line="240" w:lineRule="auto"/>
    </w:pPr>
    <w:rPr>
      <w:rFonts w:ascii="Calibri" w:hAnsi="Calibri" w:cs="Calibri"/>
      <w:color w:val="000000"/>
      <w:sz w:val="24"/>
      <w:szCs w:val="24"/>
    </w:rPr>
  </w:style>
  <w:style w:type="character" w:customStyle="1" w:styleId="NoSpacingChar">
    <w:name w:val="No Spacing Char"/>
    <w:basedOn w:val="DefaultParagraphFont"/>
    <w:link w:val="NoSpacing"/>
    <w:uiPriority w:val="1"/>
    <w:rsid w:val="006C37E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471562">
      <w:bodyDiv w:val="1"/>
      <w:marLeft w:val="0"/>
      <w:marRight w:val="0"/>
      <w:marTop w:val="0"/>
      <w:marBottom w:val="0"/>
      <w:divBdr>
        <w:top w:val="none" w:sz="0" w:space="0" w:color="auto"/>
        <w:left w:val="none" w:sz="0" w:space="0" w:color="auto"/>
        <w:bottom w:val="none" w:sz="0" w:space="0" w:color="auto"/>
        <w:right w:val="none" w:sz="0" w:space="0" w:color="auto"/>
      </w:divBdr>
    </w:div>
    <w:div w:id="454494802">
      <w:bodyDiv w:val="1"/>
      <w:marLeft w:val="0"/>
      <w:marRight w:val="0"/>
      <w:marTop w:val="0"/>
      <w:marBottom w:val="0"/>
      <w:divBdr>
        <w:top w:val="none" w:sz="0" w:space="0" w:color="auto"/>
        <w:left w:val="none" w:sz="0" w:space="0" w:color="auto"/>
        <w:bottom w:val="none" w:sz="0" w:space="0" w:color="auto"/>
        <w:right w:val="none" w:sz="0" w:space="0" w:color="auto"/>
      </w:divBdr>
    </w:div>
    <w:div w:id="625502850">
      <w:bodyDiv w:val="1"/>
      <w:marLeft w:val="0"/>
      <w:marRight w:val="0"/>
      <w:marTop w:val="0"/>
      <w:marBottom w:val="0"/>
      <w:divBdr>
        <w:top w:val="none" w:sz="0" w:space="0" w:color="auto"/>
        <w:left w:val="none" w:sz="0" w:space="0" w:color="auto"/>
        <w:bottom w:val="none" w:sz="0" w:space="0" w:color="auto"/>
        <w:right w:val="none" w:sz="0" w:space="0" w:color="auto"/>
      </w:divBdr>
    </w:div>
    <w:div w:id="1108279645">
      <w:bodyDiv w:val="1"/>
      <w:marLeft w:val="0"/>
      <w:marRight w:val="0"/>
      <w:marTop w:val="0"/>
      <w:marBottom w:val="0"/>
      <w:divBdr>
        <w:top w:val="none" w:sz="0" w:space="0" w:color="auto"/>
        <w:left w:val="none" w:sz="0" w:space="0" w:color="auto"/>
        <w:bottom w:val="none" w:sz="0" w:space="0" w:color="auto"/>
        <w:right w:val="none" w:sz="0" w:space="0" w:color="auto"/>
      </w:divBdr>
    </w:div>
    <w:div w:id="1272663024">
      <w:bodyDiv w:val="1"/>
      <w:marLeft w:val="0"/>
      <w:marRight w:val="0"/>
      <w:marTop w:val="0"/>
      <w:marBottom w:val="0"/>
      <w:divBdr>
        <w:top w:val="none" w:sz="0" w:space="0" w:color="auto"/>
        <w:left w:val="none" w:sz="0" w:space="0" w:color="auto"/>
        <w:bottom w:val="none" w:sz="0" w:space="0" w:color="auto"/>
        <w:right w:val="none" w:sz="0" w:space="0" w:color="auto"/>
      </w:divBdr>
      <w:divsChild>
        <w:div w:id="494422580">
          <w:marLeft w:val="274"/>
          <w:marRight w:val="0"/>
          <w:marTop w:val="0"/>
          <w:marBottom w:val="0"/>
          <w:divBdr>
            <w:top w:val="none" w:sz="0" w:space="0" w:color="auto"/>
            <w:left w:val="none" w:sz="0" w:space="0" w:color="auto"/>
            <w:bottom w:val="none" w:sz="0" w:space="0" w:color="auto"/>
            <w:right w:val="none" w:sz="0" w:space="0" w:color="auto"/>
          </w:divBdr>
        </w:div>
      </w:divsChild>
    </w:div>
    <w:div w:id="1571236830">
      <w:bodyDiv w:val="1"/>
      <w:marLeft w:val="0"/>
      <w:marRight w:val="0"/>
      <w:marTop w:val="0"/>
      <w:marBottom w:val="0"/>
      <w:divBdr>
        <w:top w:val="none" w:sz="0" w:space="0" w:color="auto"/>
        <w:left w:val="none" w:sz="0" w:space="0" w:color="auto"/>
        <w:bottom w:val="none" w:sz="0" w:space="0" w:color="auto"/>
        <w:right w:val="none" w:sz="0" w:space="0" w:color="auto"/>
      </w:divBdr>
      <w:divsChild>
        <w:div w:id="683366756">
          <w:marLeft w:val="274"/>
          <w:marRight w:val="0"/>
          <w:marTop w:val="0"/>
          <w:marBottom w:val="0"/>
          <w:divBdr>
            <w:top w:val="none" w:sz="0" w:space="0" w:color="auto"/>
            <w:left w:val="none" w:sz="0" w:space="0" w:color="auto"/>
            <w:bottom w:val="none" w:sz="0" w:space="0" w:color="auto"/>
            <w:right w:val="none" w:sz="0" w:space="0" w:color="auto"/>
          </w:divBdr>
        </w:div>
        <w:div w:id="1400176869">
          <w:marLeft w:val="274"/>
          <w:marRight w:val="0"/>
          <w:marTop w:val="0"/>
          <w:marBottom w:val="0"/>
          <w:divBdr>
            <w:top w:val="none" w:sz="0" w:space="0" w:color="auto"/>
            <w:left w:val="none" w:sz="0" w:space="0" w:color="auto"/>
            <w:bottom w:val="none" w:sz="0" w:space="0" w:color="auto"/>
            <w:right w:val="none" w:sz="0" w:space="0" w:color="auto"/>
          </w:divBdr>
        </w:div>
      </w:divsChild>
    </w:div>
    <w:div w:id="2042893726">
      <w:bodyDiv w:val="1"/>
      <w:marLeft w:val="0"/>
      <w:marRight w:val="0"/>
      <w:marTop w:val="0"/>
      <w:marBottom w:val="0"/>
      <w:divBdr>
        <w:top w:val="none" w:sz="0" w:space="0" w:color="auto"/>
        <w:left w:val="none" w:sz="0" w:space="0" w:color="auto"/>
        <w:bottom w:val="none" w:sz="0" w:space="0" w:color="auto"/>
        <w:right w:val="none" w:sz="0" w:space="0" w:color="auto"/>
      </w:divBdr>
      <w:divsChild>
        <w:div w:id="213235834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mafra.gov.on.ca/english/landuse/agri-landbase.ht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mafra.gov.on.ca/english/landuse/imp2019.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hyperlink" Target="http://www.escarpment.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6B7C8A6783BDE48A0D096D986242705" ma:contentTypeVersion="13" ma:contentTypeDescription="Create a new document." ma:contentTypeScope="" ma:versionID="2f72ca9256c0b262919d773063a89bd7">
  <xsd:schema xmlns:xsd="http://www.w3.org/2001/XMLSchema" xmlns:xs="http://www.w3.org/2001/XMLSchema" xmlns:p="http://schemas.microsoft.com/office/2006/metadata/properties" xmlns:ns3="8022163d-7682-4450-abe1-587ac0f6376b" xmlns:ns4="ef354a9c-7d37-4f03-a7ba-bf428376f60d" targetNamespace="http://schemas.microsoft.com/office/2006/metadata/properties" ma:root="true" ma:fieldsID="ac43913eae455102a6280e771fe8448b" ns3:_="" ns4:_="">
    <xsd:import namespace="8022163d-7682-4450-abe1-587ac0f6376b"/>
    <xsd:import namespace="ef354a9c-7d37-4f03-a7ba-bf428376f60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22163d-7682-4450-abe1-587ac0f637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354a9c-7d37-4f03-a7ba-bf428376f60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F3BC14-3AEC-410D-98EE-3D8319049621}">
  <ds:schemaRefs>
    <ds:schemaRef ds:uri="http://schemas.openxmlformats.org/officeDocument/2006/bibliography"/>
  </ds:schemaRefs>
</ds:datastoreItem>
</file>

<file path=customXml/itemProps2.xml><?xml version="1.0" encoding="utf-8"?>
<ds:datastoreItem xmlns:ds="http://schemas.openxmlformats.org/officeDocument/2006/customXml" ds:itemID="{ABE0C8A1-941D-4DCF-AD94-D53E2E1932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22163d-7682-4450-abe1-587ac0f6376b"/>
    <ds:schemaRef ds:uri="ef354a9c-7d37-4f03-a7ba-bf428376f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EF30C1-8573-43F9-990D-B171056FEA32}">
  <ds:schemaRefs>
    <ds:schemaRef ds:uri="http://schemas.microsoft.com/sharepoint/v3/contenttype/forms"/>
  </ds:schemaRefs>
</ds:datastoreItem>
</file>

<file path=customXml/itemProps4.xml><?xml version="1.0" encoding="utf-8"?>
<ds:datastoreItem xmlns:ds="http://schemas.openxmlformats.org/officeDocument/2006/customXml" ds:itemID="{3B697792-83E7-4F5F-9E44-115BA551D7F0}">
  <ds:schemaRefs>
    <ds:schemaRef ds:uri="http://schemas.microsoft.com/office/2006/metadata/properties"/>
    <ds:schemaRef ds:uri="ef354a9c-7d37-4f03-a7ba-bf428376f60d"/>
    <ds:schemaRef ds:uri="8022163d-7682-4450-abe1-587ac0f6376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7560</Words>
  <Characters>43098</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50557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Ventresca, Daniel (MNRF)</dc:creator>
  <cp:lastModifiedBy>D'Silva, Danielle (NDMNRF)</cp:lastModifiedBy>
  <cp:revision>4</cp:revision>
  <dcterms:created xsi:type="dcterms:W3CDTF">2021-11-08T18:56:00Z</dcterms:created>
  <dcterms:modified xsi:type="dcterms:W3CDTF">2021-11-15T15:42:00Z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0x01010066B7C8A6783BDE48A0D096D986242705</vt:lpwstr>
  </property>
  <property fmtid="{D5CDD505-2E9C-101B-9397-08002B2CF9AE}" pid="3" name="MSIP_Label_034a106e-6316-442c-ad35-738afd673d2b_Enabled">
    <vt:lpwstr>true</vt:lpwstr>
  </property>
  <property fmtid="{D5CDD505-2E9C-101B-9397-08002B2CF9AE}" pid="4" name="MSIP_Label_034a106e-6316-442c-ad35-738afd673d2b_SetDate">
    <vt:lpwstr>2021-10-20T21:07:20Z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21efc68b-f76e-434f-be64-7202eb715025</vt:lpwstr>
  </property>
  <property fmtid="{D5CDD505-2E9C-101B-9397-08002B2CF9AE}" pid="9" name="MSIP_Label_034a106e-6316-442c-ad35-738afd673d2b_ContentBits">
    <vt:lpwstr>0</vt:lpwstr>
  </property>
</Properties>
</file>