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0F9E" w14:textId="19238881" w:rsidR="002C117F" w:rsidRDefault="00557A5A" w:rsidP="4F0FFADF">
      <w:pPr>
        <w:rPr>
          <w:lang w:val="en-US"/>
        </w:rPr>
      </w:pPr>
      <w:r>
        <w:rPr>
          <w:lang w:val="en-US"/>
        </w:rPr>
        <w:t>November 1</w:t>
      </w:r>
      <w:r w:rsidR="00E623F9">
        <w:rPr>
          <w:lang w:val="en-US"/>
        </w:rPr>
        <w:t>7</w:t>
      </w:r>
      <w:r>
        <w:rPr>
          <w:lang w:val="en-US"/>
        </w:rPr>
        <w:t>, 2021</w:t>
      </w:r>
    </w:p>
    <w:p w14:paraId="2F32C8F0" w14:textId="772A3ED9" w:rsidR="00554131" w:rsidRPr="0035152F" w:rsidRDefault="003C5437" w:rsidP="00E70073">
      <w:pPr>
        <w:pStyle w:val="Heading1"/>
      </w:pPr>
      <w:r>
        <w:t>INFORMATION</w:t>
      </w:r>
      <w:r w:rsidR="00554131" w:rsidRPr="0035152F">
        <w:t xml:space="preserve"> REPORT</w:t>
      </w:r>
    </w:p>
    <w:p w14:paraId="16FBF789" w14:textId="77777777" w:rsidR="00EA61C5" w:rsidRPr="00E2210F" w:rsidRDefault="00EA61C5" w:rsidP="009A79D2">
      <w:pPr>
        <w:pStyle w:val="Heading2"/>
        <w:rPr>
          <w:b w:val="0"/>
          <w:bCs/>
        </w:rPr>
      </w:pPr>
    </w:p>
    <w:p w14:paraId="52930AE9" w14:textId="7792E10E" w:rsidR="00BB4230" w:rsidRPr="00BB4230" w:rsidRDefault="008B70A5" w:rsidP="00EA61C5">
      <w:pPr>
        <w:pStyle w:val="Heading2"/>
        <w:ind w:left="720" w:hanging="720"/>
      </w:pPr>
      <w:r>
        <w:t>Re:</w:t>
      </w:r>
      <w:r w:rsidR="00EA61C5">
        <w:tab/>
        <w:t>Urban Amendments under the Niagara Escarpment Planning and Development Act</w:t>
      </w:r>
    </w:p>
    <w:p w14:paraId="7B712062" w14:textId="62165307" w:rsidR="0035152F" w:rsidRDefault="0035152F" w:rsidP="00E70073">
      <w:pPr>
        <w:spacing w:after="0"/>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5924B5"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pt" to="4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strokecolor="black [3040]"/>
            </w:pict>
          </mc:Fallback>
        </mc:AlternateContent>
      </w:r>
    </w:p>
    <w:p w14:paraId="11E8C875" w14:textId="77777777" w:rsidR="0078718D" w:rsidRDefault="0078718D" w:rsidP="003C1CB1">
      <w:pPr>
        <w:pStyle w:val="Heading2"/>
        <w:jc w:val="center"/>
      </w:pPr>
    </w:p>
    <w:p w14:paraId="2E79D1A9" w14:textId="3D13E3A1" w:rsidR="00554131" w:rsidRDefault="00677F24" w:rsidP="00677F24">
      <w:pPr>
        <w:pStyle w:val="Heading3"/>
        <w:rPr>
          <w:noProof/>
        </w:rPr>
      </w:pPr>
      <w:r>
        <w:t>BACKGROUND</w:t>
      </w:r>
    </w:p>
    <w:p w14:paraId="11888E5B" w14:textId="324446B9" w:rsidR="0035152F" w:rsidRDefault="00677F24" w:rsidP="00E70073">
      <w:pPr>
        <w:spacing w:after="0"/>
        <w:rPr>
          <w:rFonts w:ascii="Arial" w:eastAsia="Times New Roman" w:hAnsi="Arial" w:cs="Arial"/>
          <w:szCs w:val="24"/>
        </w:rPr>
      </w:pPr>
      <w:r>
        <w:rPr>
          <w:rFonts w:ascii="Arial" w:eastAsia="Times New Roman" w:hAnsi="Arial" w:cs="Arial"/>
          <w:szCs w:val="24"/>
        </w:rPr>
        <w:t xml:space="preserve">At the March 18, 2021 Commission meeting, </w:t>
      </w:r>
      <w:r w:rsidR="001604F7">
        <w:rPr>
          <w:rFonts w:ascii="Arial" w:eastAsia="Times New Roman" w:hAnsi="Arial" w:cs="Arial"/>
          <w:szCs w:val="24"/>
        </w:rPr>
        <w:t>Commissioner Burton</w:t>
      </w:r>
      <w:r w:rsidR="001200D9">
        <w:rPr>
          <w:rFonts w:ascii="Arial" w:eastAsia="Times New Roman" w:hAnsi="Arial" w:cs="Arial"/>
          <w:szCs w:val="24"/>
        </w:rPr>
        <w:t xml:space="preserve"> brought forward a </w:t>
      </w:r>
      <w:r w:rsidR="00250E34">
        <w:rPr>
          <w:rFonts w:ascii="Arial" w:eastAsia="Times New Roman" w:hAnsi="Arial" w:cs="Arial"/>
          <w:szCs w:val="24"/>
        </w:rPr>
        <w:t xml:space="preserve">motion that </w:t>
      </w:r>
      <w:r w:rsidR="00B9474D">
        <w:rPr>
          <w:rFonts w:ascii="Arial" w:eastAsia="Times New Roman" w:hAnsi="Arial" w:cs="Arial"/>
          <w:szCs w:val="24"/>
        </w:rPr>
        <w:t xml:space="preserve">would have “urban amendments” be considered </w:t>
      </w:r>
      <w:r w:rsidR="00A6256E">
        <w:rPr>
          <w:rFonts w:ascii="Arial" w:eastAsia="Times New Roman" w:hAnsi="Arial" w:cs="Arial"/>
          <w:szCs w:val="24"/>
        </w:rPr>
        <w:t>outside of a co-ordinated provincial plan review</w:t>
      </w:r>
      <w:r w:rsidR="00B9474D">
        <w:rPr>
          <w:rFonts w:ascii="Arial" w:eastAsia="Times New Roman" w:hAnsi="Arial" w:cs="Arial"/>
          <w:szCs w:val="24"/>
        </w:rPr>
        <w:t xml:space="preserve">, and not just </w:t>
      </w:r>
      <w:r w:rsidR="003C5437">
        <w:rPr>
          <w:rFonts w:ascii="Arial" w:eastAsia="Times New Roman" w:hAnsi="Arial" w:cs="Arial"/>
          <w:szCs w:val="24"/>
        </w:rPr>
        <w:t>at the time of</w:t>
      </w:r>
      <w:r w:rsidR="00B9474D">
        <w:rPr>
          <w:rFonts w:ascii="Arial" w:eastAsia="Times New Roman" w:hAnsi="Arial" w:cs="Arial"/>
          <w:szCs w:val="24"/>
        </w:rPr>
        <w:t xml:space="preserve"> a review of the Niagara Escarpment Plan</w:t>
      </w:r>
      <w:r w:rsidR="005A1F6C">
        <w:rPr>
          <w:rFonts w:ascii="Arial" w:eastAsia="Times New Roman" w:hAnsi="Arial" w:cs="Arial"/>
          <w:szCs w:val="24"/>
        </w:rPr>
        <w:t xml:space="preserve"> (NEP</w:t>
      </w:r>
      <w:r w:rsidR="003C5437">
        <w:rPr>
          <w:rFonts w:ascii="Arial" w:eastAsia="Times New Roman" w:hAnsi="Arial" w:cs="Arial"/>
          <w:szCs w:val="24"/>
        </w:rPr>
        <w:t>)</w:t>
      </w:r>
      <w:r w:rsidR="00B9474D">
        <w:rPr>
          <w:rFonts w:ascii="Arial" w:eastAsia="Times New Roman" w:hAnsi="Arial" w:cs="Arial"/>
          <w:szCs w:val="24"/>
        </w:rPr>
        <w:t>.</w:t>
      </w:r>
      <w:r w:rsidR="00584EAE">
        <w:rPr>
          <w:rFonts w:ascii="Arial" w:eastAsia="Times New Roman" w:hAnsi="Arial" w:cs="Arial"/>
          <w:szCs w:val="24"/>
        </w:rPr>
        <w:t xml:space="preserve"> However, Commissioner Burton’s motion was deferred, and the following motion was passed:</w:t>
      </w:r>
    </w:p>
    <w:p w14:paraId="2C308177" w14:textId="5BE38B2B" w:rsidR="001604F7" w:rsidRDefault="001604F7" w:rsidP="00E70073">
      <w:pPr>
        <w:spacing w:after="0"/>
        <w:rPr>
          <w:rFonts w:ascii="Arial" w:eastAsia="Times New Roman" w:hAnsi="Arial" w:cs="Arial"/>
          <w:szCs w:val="24"/>
        </w:rPr>
      </w:pPr>
    </w:p>
    <w:p w14:paraId="435EE1C3" w14:textId="7CAE6A7B" w:rsidR="001604F7" w:rsidRDefault="00AF669C" w:rsidP="00AF669C">
      <w:pPr>
        <w:tabs>
          <w:tab w:val="left" w:pos="720"/>
        </w:tabs>
        <w:spacing w:after="0"/>
        <w:ind w:left="720" w:right="720"/>
        <w:rPr>
          <w:rFonts w:ascii="Arial" w:eastAsia="Times New Roman" w:hAnsi="Arial" w:cs="Arial"/>
          <w:szCs w:val="24"/>
        </w:rPr>
      </w:pPr>
      <w:r>
        <w:rPr>
          <w:rFonts w:ascii="Arial" w:eastAsia="Times New Roman" w:hAnsi="Arial" w:cs="Arial"/>
          <w:szCs w:val="24"/>
        </w:rPr>
        <w:t>“</w:t>
      </w:r>
      <w:r w:rsidR="003855DF" w:rsidRPr="00003F12">
        <w:rPr>
          <w:rFonts w:cs="Arial"/>
          <w:bCs/>
        </w:rPr>
        <w:t xml:space="preserve">That </w:t>
      </w:r>
      <w:r w:rsidR="003855DF">
        <w:rPr>
          <w:rFonts w:cs="Arial"/>
          <w:bCs/>
        </w:rPr>
        <w:t>Commissioner Burton’s motion</w:t>
      </w:r>
      <w:r w:rsidR="003855DF" w:rsidRPr="00003F12">
        <w:rPr>
          <w:rFonts w:cs="Arial"/>
          <w:bCs/>
        </w:rPr>
        <w:t xml:space="preserve"> </w:t>
      </w:r>
      <w:r w:rsidR="003855DF">
        <w:rPr>
          <w:rFonts w:cs="Arial"/>
          <w:bCs/>
        </w:rPr>
        <w:t xml:space="preserve">that </w:t>
      </w:r>
      <w:r w:rsidR="003855DF" w:rsidRPr="00003F12">
        <w:rPr>
          <w:rFonts w:cs="Arial"/>
          <w:bCs/>
        </w:rPr>
        <w:t xml:space="preserve">the Chair write the Minister of </w:t>
      </w:r>
      <w:r w:rsidR="003855DF">
        <w:rPr>
          <w:rFonts w:cs="Arial"/>
          <w:bCs/>
        </w:rPr>
        <w:t>Natural Resources and Forestry</w:t>
      </w:r>
      <w:r w:rsidR="003855DF" w:rsidRPr="00003F12">
        <w:rPr>
          <w:rFonts w:cs="Arial"/>
          <w:bCs/>
        </w:rPr>
        <w:t xml:space="preserve"> to move forward with a change to the </w:t>
      </w:r>
      <w:r w:rsidR="005A1F6C">
        <w:rPr>
          <w:rFonts w:cs="Arial"/>
          <w:bCs/>
        </w:rPr>
        <w:t>Niagara Escarpment Planning and Development Act</w:t>
      </w:r>
      <w:r w:rsidR="003855DF" w:rsidRPr="00003F12">
        <w:rPr>
          <w:rFonts w:cs="Arial"/>
          <w:bCs/>
        </w:rPr>
        <w:t xml:space="preserve"> that would allow Plan Amendments for urban designations (Urban, Minor Urban, Recreation) outside of a Coordinated Review process</w:t>
      </w:r>
      <w:r w:rsidR="003855DF">
        <w:rPr>
          <w:rFonts w:cs="Arial"/>
          <w:bCs/>
        </w:rPr>
        <w:t xml:space="preserve"> </w:t>
      </w:r>
      <w:r w:rsidR="003855DF" w:rsidRPr="005A1F6C">
        <w:rPr>
          <w:rFonts w:cs="Arial"/>
          <w:bCs/>
        </w:rPr>
        <w:t>be deferred</w:t>
      </w:r>
      <w:r w:rsidR="003855DF">
        <w:rPr>
          <w:rFonts w:cs="Arial"/>
          <w:bCs/>
        </w:rPr>
        <w:t xml:space="preserve"> to provide staff time to review the Motion and prepare a staff report for an upcoming Commission meeting</w:t>
      </w:r>
      <w:r w:rsidR="003855DF" w:rsidRPr="00003F12">
        <w:rPr>
          <w:rFonts w:cs="Arial"/>
          <w:bCs/>
        </w:rPr>
        <w:t>.</w:t>
      </w:r>
      <w:r>
        <w:rPr>
          <w:rFonts w:ascii="Arial" w:eastAsia="Times New Roman" w:hAnsi="Arial" w:cs="Arial"/>
          <w:szCs w:val="24"/>
        </w:rPr>
        <w:t>”</w:t>
      </w:r>
    </w:p>
    <w:p w14:paraId="649D9666" w14:textId="77777777" w:rsidR="000513D9" w:rsidRDefault="000513D9" w:rsidP="00E70073">
      <w:pPr>
        <w:spacing w:after="0"/>
        <w:rPr>
          <w:rFonts w:ascii="Arial" w:eastAsia="Times New Roman" w:hAnsi="Arial" w:cs="Arial"/>
          <w:szCs w:val="24"/>
        </w:rPr>
      </w:pPr>
    </w:p>
    <w:p w14:paraId="285069E7" w14:textId="77777777" w:rsidR="009043EF" w:rsidRDefault="00A92694" w:rsidP="00E70073">
      <w:pPr>
        <w:spacing w:after="0"/>
        <w:rPr>
          <w:rFonts w:ascii="Arial" w:eastAsia="Times New Roman" w:hAnsi="Arial" w:cs="Arial"/>
          <w:szCs w:val="24"/>
        </w:rPr>
      </w:pPr>
      <w:r>
        <w:rPr>
          <w:rFonts w:ascii="Arial" w:eastAsia="Times New Roman" w:hAnsi="Arial" w:cs="Arial"/>
          <w:szCs w:val="24"/>
        </w:rPr>
        <w:t>The purpose of this report to provide the Commission with the context for urban amendments</w:t>
      </w:r>
      <w:r w:rsidR="006B6742">
        <w:rPr>
          <w:rFonts w:ascii="Arial" w:eastAsia="Times New Roman" w:hAnsi="Arial" w:cs="Arial"/>
          <w:szCs w:val="24"/>
        </w:rPr>
        <w:t xml:space="preserve"> as set out in the Niagara Escarpment Planning and Development Act (NEPDA). Other provincial policy also applies, namely the Provincial Policy Statement and A Place to Grow: </w:t>
      </w:r>
      <w:proofErr w:type="gramStart"/>
      <w:r w:rsidR="006B6742">
        <w:rPr>
          <w:rFonts w:ascii="Arial" w:eastAsia="Times New Roman" w:hAnsi="Arial" w:cs="Arial"/>
          <w:szCs w:val="24"/>
        </w:rPr>
        <w:t>the</w:t>
      </w:r>
      <w:proofErr w:type="gramEnd"/>
      <w:r w:rsidR="006B6742">
        <w:rPr>
          <w:rFonts w:ascii="Arial" w:eastAsia="Times New Roman" w:hAnsi="Arial" w:cs="Arial"/>
          <w:szCs w:val="24"/>
        </w:rPr>
        <w:t xml:space="preserve"> Growth Plan for the Greater Golden Horseshoe also set out policies that are relevant to the timing of urban amendments in the NEP Area</w:t>
      </w:r>
      <w:r w:rsidR="00E52457">
        <w:rPr>
          <w:rFonts w:ascii="Arial" w:eastAsia="Times New Roman" w:hAnsi="Arial" w:cs="Arial"/>
          <w:szCs w:val="24"/>
        </w:rPr>
        <w:t>.</w:t>
      </w:r>
      <w:r w:rsidR="006B6742">
        <w:rPr>
          <w:rFonts w:ascii="Arial" w:eastAsia="Times New Roman" w:hAnsi="Arial" w:cs="Arial"/>
          <w:szCs w:val="24"/>
        </w:rPr>
        <w:t xml:space="preserve"> In provincial policy, </w:t>
      </w:r>
      <w:r w:rsidR="00D10C62">
        <w:rPr>
          <w:rFonts w:ascii="Arial" w:eastAsia="Times New Roman" w:hAnsi="Arial" w:cs="Arial"/>
          <w:szCs w:val="24"/>
        </w:rPr>
        <w:t xml:space="preserve">adding new “greenfield” areas for urban development is </w:t>
      </w:r>
      <w:r w:rsidR="006B6742">
        <w:rPr>
          <w:rFonts w:ascii="Arial" w:eastAsia="Times New Roman" w:hAnsi="Arial" w:cs="Arial"/>
          <w:szCs w:val="24"/>
        </w:rPr>
        <w:t>referred to “settlement area boundary expansions.” In the context of the NEP, settlement area boundary expansions take the form of increases in the area of Urban Areas, Minor Urban Centres, or Escarpment Recreation Area.</w:t>
      </w:r>
    </w:p>
    <w:p w14:paraId="5FFC2FB4" w14:textId="77777777" w:rsidR="009043EF" w:rsidRDefault="009043EF" w:rsidP="00E70073">
      <w:pPr>
        <w:spacing w:after="0"/>
        <w:rPr>
          <w:rFonts w:ascii="Arial" w:eastAsia="Times New Roman" w:hAnsi="Arial" w:cs="Arial"/>
          <w:szCs w:val="24"/>
        </w:rPr>
      </w:pPr>
    </w:p>
    <w:p w14:paraId="19E42812" w14:textId="468E8CD8" w:rsidR="00AD7730" w:rsidRDefault="00D10C62" w:rsidP="00E70073">
      <w:pPr>
        <w:spacing w:after="0"/>
        <w:rPr>
          <w:rFonts w:ascii="Arial" w:eastAsia="Times New Roman" w:hAnsi="Arial" w:cs="Arial"/>
          <w:szCs w:val="24"/>
        </w:rPr>
      </w:pPr>
      <w:r>
        <w:rPr>
          <w:rFonts w:ascii="Arial" w:eastAsia="Times New Roman" w:hAnsi="Arial" w:cs="Arial"/>
          <w:szCs w:val="24"/>
        </w:rPr>
        <w:t>Although the NEPDA sets out a process for seeking urban amendment</w:t>
      </w:r>
      <w:r w:rsidR="009043EF">
        <w:rPr>
          <w:rFonts w:ascii="Arial" w:eastAsia="Times New Roman" w:hAnsi="Arial" w:cs="Arial"/>
          <w:szCs w:val="24"/>
        </w:rPr>
        <w:t>s</w:t>
      </w:r>
      <w:r>
        <w:rPr>
          <w:rFonts w:ascii="Arial" w:eastAsia="Times New Roman" w:hAnsi="Arial" w:cs="Arial"/>
          <w:szCs w:val="24"/>
        </w:rPr>
        <w:t xml:space="preserve">, the NEPDA cannot be considered in isolation of other provincial policy that directs how communities </w:t>
      </w:r>
      <w:r>
        <w:rPr>
          <w:rFonts w:ascii="Arial" w:eastAsia="Times New Roman" w:hAnsi="Arial" w:cs="Arial"/>
          <w:szCs w:val="24"/>
        </w:rPr>
        <w:lastRenderedPageBreak/>
        <w:t xml:space="preserve">should grow. In turn, the report will discuss the NEPDA, the NEP, the Provincial Policy Statement, </w:t>
      </w:r>
      <w:r w:rsidR="009043EF">
        <w:rPr>
          <w:rFonts w:ascii="Arial" w:eastAsia="Times New Roman" w:hAnsi="Arial" w:cs="Arial"/>
          <w:szCs w:val="24"/>
        </w:rPr>
        <w:t xml:space="preserve">and </w:t>
      </w:r>
      <w:r>
        <w:rPr>
          <w:rFonts w:ascii="Arial" w:eastAsia="Times New Roman" w:hAnsi="Arial" w:cs="Arial"/>
          <w:szCs w:val="24"/>
        </w:rPr>
        <w:t>the Growth Plan</w:t>
      </w:r>
      <w:r w:rsidR="009043EF">
        <w:rPr>
          <w:rFonts w:ascii="Arial" w:eastAsia="Times New Roman" w:hAnsi="Arial" w:cs="Arial"/>
          <w:szCs w:val="24"/>
        </w:rPr>
        <w:t xml:space="preserve"> as the key pieces of provincial policy that affect growth and development in municipalities in the NEP Area.</w:t>
      </w:r>
      <w:r w:rsidR="006557EF">
        <w:rPr>
          <w:rFonts w:ascii="Arial" w:eastAsia="Times New Roman" w:hAnsi="Arial" w:cs="Arial"/>
          <w:szCs w:val="24"/>
        </w:rPr>
        <w:t xml:space="preserve"> Given the different processes and policies set out, primarily in the NEPDA and the Growth Plan, this report</w:t>
      </w:r>
      <w:r w:rsidR="009043EF">
        <w:rPr>
          <w:rFonts w:ascii="Arial" w:eastAsia="Times New Roman" w:hAnsi="Arial" w:cs="Arial"/>
          <w:szCs w:val="24"/>
        </w:rPr>
        <w:t xml:space="preserve"> </w:t>
      </w:r>
      <w:r w:rsidR="006557EF">
        <w:rPr>
          <w:rFonts w:ascii="Arial" w:eastAsia="Times New Roman" w:hAnsi="Arial" w:cs="Arial"/>
          <w:szCs w:val="24"/>
        </w:rPr>
        <w:t>will set out the current process municipalities and the NEP must pursue in order to consider settlement area boundary expansions in the NEP Area.</w:t>
      </w:r>
    </w:p>
    <w:p w14:paraId="017D9728" w14:textId="4A1C9879" w:rsidR="008B37DA" w:rsidRDefault="008B37DA" w:rsidP="00E70073">
      <w:pPr>
        <w:spacing w:after="0"/>
        <w:rPr>
          <w:rFonts w:ascii="Arial" w:eastAsia="Times New Roman" w:hAnsi="Arial" w:cs="Arial"/>
          <w:szCs w:val="24"/>
        </w:rPr>
      </w:pPr>
    </w:p>
    <w:p w14:paraId="6E72F5BD" w14:textId="2FC2B414" w:rsidR="0035152F" w:rsidRPr="00050580" w:rsidRDefault="00DF4960" w:rsidP="00643386">
      <w:pPr>
        <w:pStyle w:val="Heading3"/>
        <w:numPr>
          <w:ilvl w:val="0"/>
          <w:numId w:val="21"/>
        </w:numPr>
        <w:ind w:left="360"/>
      </w:pPr>
      <w:r w:rsidRPr="00050580">
        <w:t>Niagara Escarpment Planning and Development Act (NEPDA)</w:t>
      </w:r>
    </w:p>
    <w:p w14:paraId="0F16D6EB" w14:textId="410FC589" w:rsidR="00554131" w:rsidRDefault="00E52457" w:rsidP="00050580">
      <w:pPr>
        <w:spacing w:before="200" w:after="0"/>
        <w:rPr>
          <w:rFonts w:ascii="Arial" w:eastAsia="Times New Roman" w:hAnsi="Arial" w:cs="Times New Roman"/>
          <w:noProof/>
          <w:szCs w:val="24"/>
          <w:lang w:val="en-GB"/>
        </w:rPr>
      </w:pPr>
      <w:r>
        <w:rPr>
          <w:rFonts w:ascii="Arial" w:eastAsia="Times New Roman" w:hAnsi="Arial" w:cs="Times New Roman"/>
          <w:noProof/>
          <w:szCs w:val="24"/>
          <w:lang w:val="en-GB"/>
        </w:rPr>
        <w:t xml:space="preserve">The </w:t>
      </w:r>
      <w:r w:rsidR="00F003CF">
        <w:rPr>
          <w:rFonts w:ascii="Arial" w:eastAsia="Times New Roman" w:hAnsi="Arial" w:cs="Times New Roman"/>
          <w:noProof/>
          <w:szCs w:val="24"/>
          <w:lang w:val="en-GB"/>
        </w:rPr>
        <w:t>restricti</w:t>
      </w:r>
      <w:r w:rsidR="00E96BF4">
        <w:rPr>
          <w:rFonts w:ascii="Arial" w:eastAsia="Times New Roman" w:hAnsi="Arial" w:cs="Times New Roman"/>
          <w:noProof/>
          <w:szCs w:val="24"/>
          <w:lang w:val="en-GB"/>
        </w:rPr>
        <w:t>on on the timing of Niagara Escarpment Plan (NEP) amendments that relate to urban</w:t>
      </w:r>
      <w:r w:rsidR="003E5702">
        <w:rPr>
          <w:rFonts w:ascii="Arial" w:eastAsia="Times New Roman" w:hAnsi="Arial" w:cs="Times New Roman"/>
          <w:noProof/>
          <w:szCs w:val="24"/>
          <w:lang w:val="en-GB"/>
        </w:rPr>
        <w:t xml:space="preserve"> designations and urban land uses is found within section </w:t>
      </w:r>
      <w:r w:rsidR="00502FFB">
        <w:rPr>
          <w:rFonts w:ascii="Arial" w:eastAsia="Times New Roman" w:hAnsi="Arial" w:cs="Times New Roman"/>
          <w:noProof/>
          <w:szCs w:val="24"/>
          <w:lang w:val="en-GB"/>
        </w:rPr>
        <w:t>6.1(2.2) of the NEPDA:</w:t>
      </w:r>
    </w:p>
    <w:p w14:paraId="6D11541B" w14:textId="77777777" w:rsidR="00902699" w:rsidRDefault="00902699" w:rsidP="00E70073">
      <w:pPr>
        <w:spacing w:after="0"/>
        <w:rPr>
          <w:rFonts w:ascii="Arial" w:eastAsia="Times New Roman" w:hAnsi="Arial" w:cs="Times New Roman"/>
          <w:noProof/>
          <w:szCs w:val="24"/>
          <w:lang w:val="en-GB"/>
        </w:rPr>
      </w:pPr>
    </w:p>
    <w:p w14:paraId="7667F192" w14:textId="51070F1D" w:rsidR="00502FFB" w:rsidRDefault="00AF2E8D" w:rsidP="00AF2E8D">
      <w:pPr>
        <w:spacing w:after="0"/>
        <w:ind w:left="720" w:right="720"/>
        <w:rPr>
          <w:rFonts w:ascii="Arial" w:eastAsia="Times New Roman" w:hAnsi="Arial" w:cs="Times New Roman"/>
          <w:noProof/>
          <w:szCs w:val="24"/>
          <w:lang w:val="en-GB"/>
        </w:rPr>
      </w:pPr>
      <w:r>
        <w:rPr>
          <w:rFonts w:ascii="Arial" w:eastAsia="Times New Roman" w:hAnsi="Arial" w:cs="Times New Roman"/>
          <w:noProof/>
          <w:szCs w:val="24"/>
          <w:lang w:val="en-GB"/>
        </w:rPr>
        <w:t>“</w:t>
      </w:r>
      <w:r w:rsidR="00502FFB">
        <w:rPr>
          <w:rFonts w:ascii="Arial" w:eastAsia="Times New Roman" w:hAnsi="Arial" w:cs="Times New Roman"/>
          <w:noProof/>
          <w:szCs w:val="24"/>
          <w:lang w:val="en-GB"/>
        </w:rPr>
        <w:t xml:space="preserve">No person or </w:t>
      </w:r>
      <w:r w:rsidR="00CE7AB4">
        <w:rPr>
          <w:rFonts w:ascii="Arial" w:eastAsia="Times New Roman" w:hAnsi="Arial" w:cs="Times New Roman"/>
          <w:noProof/>
          <w:szCs w:val="24"/>
          <w:lang w:val="en-GB"/>
        </w:rPr>
        <w:t>or public body shall</w:t>
      </w:r>
      <w:r w:rsidR="00585458">
        <w:rPr>
          <w:rFonts w:ascii="Arial" w:eastAsia="Times New Roman" w:hAnsi="Arial" w:cs="Times New Roman"/>
          <w:noProof/>
          <w:szCs w:val="24"/>
          <w:lang w:val="en-GB"/>
        </w:rPr>
        <w:t xml:space="preserve"> make an application or request to amend the Niagar Escarpment Plan if the application or request relates to land</w:t>
      </w:r>
      <w:r w:rsidR="00932F05">
        <w:rPr>
          <w:rFonts w:ascii="Arial" w:eastAsia="Times New Roman" w:hAnsi="Arial" w:cs="Times New Roman"/>
          <w:noProof/>
          <w:szCs w:val="24"/>
          <w:lang w:val="en-GB"/>
        </w:rPr>
        <w:t xml:space="preserve"> that is within the land use designation of Escarpment Natural Area, Escarpment Protection Area, Mineral Resource Extraction Area</w:t>
      </w:r>
      <w:r w:rsidR="00A127A5">
        <w:rPr>
          <w:rFonts w:ascii="Arial" w:eastAsia="Times New Roman" w:hAnsi="Arial" w:cs="Times New Roman"/>
          <w:noProof/>
          <w:szCs w:val="24"/>
          <w:lang w:val="en-GB"/>
        </w:rPr>
        <w:t xml:space="preserve"> or Escarpment Rural Area of the Niagara Escarpment Plan and the application or request seeks to,</w:t>
      </w:r>
    </w:p>
    <w:p w14:paraId="7B1E342B" w14:textId="551A4520" w:rsidR="00A127A5" w:rsidRDefault="00E2210F" w:rsidP="00AF2E8D">
      <w:pPr>
        <w:pStyle w:val="ListParagraph"/>
        <w:numPr>
          <w:ilvl w:val="0"/>
          <w:numId w:val="11"/>
        </w:numPr>
        <w:spacing w:after="0"/>
        <w:ind w:left="1080" w:right="1440"/>
        <w:rPr>
          <w:rFonts w:ascii="Arial" w:eastAsia="Times New Roman" w:hAnsi="Arial" w:cs="Times New Roman"/>
          <w:noProof/>
          <w:szCs w:val="24"/>
          <w:lang w:val="en-GB"/>
        </w:rPr>
      </w:pPr>
      <w:r>
        <w:rPr>
          <w:rFonts w:ascii="Arial" w:eastAsia="Times New Roman" w:hAnsi="Arial" w:cs="Times New Roman"/>
          <w:noProof/>
          <w:szCs w:val="24"/>
          <w:lang w:val="en-GB"/>
        </w:rPr>
        <w:t>r</w:t>
      </w:r>
      <w:r w:rsidR="00A127A5">
        <w:rPr>
          <w:rFonts w:ascii="Arial" w:eastAsia="Times New Roman" w:hAnsi="Arial" w:cs="Times New Roman"/>
          <w:noProof/>
          <w:szCs w:val="24"/>
          <w:lang w:val="en-GB"/>
        </w:rPr>
        <w:t>edesignate</w:t>
      </w:r>
      <w:r w:rsidR="00CB2C1F">
        <w:rPr>
          <w:rFonts w:ascii="Arial" w:eastAsia="Times New Roman" w:hAnsi="Arial" w:cs="Times New Roman"/>
          <w:noProof/>
          <w:szCs w:val="24"/>
          <w:lang w:val="en-GB"/>
        </w:rPr>
        <w:t xml:space="preserve"> the land to the land use designation of Minor Urban Centre, Urban Area or Escarpment Recreation Area of the Niagara Escarpment Plan, </w:t>
      </w:r>
      <w:r>
        <w:rPr>
          <w:rFonts w:ascii="Arial" w:eastAsia="Times New Roman" w:hAnsi="Arial" w:cs="Times New Roman"/>
          <w:noProof/>
          <w:szCs w:val="24"/>
          <w:lang w:val="en-GB"/>
        </w:rPr>
        <w:t>o</w:t>
      </w:r>
      <w:r w:rsidR="00CB2C1F">
        <w:rPr>
          <w:rFonts w:ascii="Arial" w:eastAsia="Times New Roman" w:hAnsi="Arial" w:cs="Times New Roman"/>
          <w:noProof/>
          <w:szCs w:val="24"/>
          <w:lang w:val="en-GB"/>
        </w:rPr>
        <w:t>r</w:t>
      </w:r>
    </w:p>
    <w:p w14:paraId="51D083B2" w14:textId="3F2C9533" w:rsidR="00CB2C1F" w:rsidRDefault="00E2210F" w:rsidP="00AF2E8D">
      <w:pPr>
        <w:pStyle w:val="ListParagraph"/>
        <w:numPr>
          <w:ilvl w:val="0"/>
          <w:numId w:val="11"/>
        </w:numPr>
        <w:spacing w:after="0"/>
        <w:ind w:left="1080" w:right="1440"/>
        <w:rPr>
          <w:rFonts w:ascii="Arial" w:eastAsia="Times New Roman" w:hAnsi="Arial" w:cs="Times New Roman"/>
          <w:noProof/>
          <w:szCs w:val="24"/>
          <w:lang w:val="en-GB"/>
        </w:rPr>
      </w:pPr>
      <w:r>
        <w:rPr>
          <w:rFonts w:ascii="Arial" w:eastAsia="Times New Roman" w:hAnsi="Arial" w:cs="Times New Roman"/>
          <w:noProof/>
          <w:szCs w:val="24"/>
          <w:lang w:val="en-GB"/>
        </w:rPr>
        <w:t>m</w:t>
      </w:r>
      <w:r w:rsidR="00AF2E8D">
        <w:rPr>
          <w:rFonts w:ascii="Arial" w:eastAsia="Times New Roman" w:hAnsi="Arial" w:cs="Times New Roman"/>
          <w:noProof/>
          <w:szCs w:val="24"/>
          <w:lang w:val="en-GB"/>
        </w:rPr>
        <w:t>ake any other amendment to permit urban uses.”</w:t>
      </w:r>
    </w:p>
    <w:p w14:paraId="0EB41F41" w14:textId="77777777" w:rsidR="00AF2E8D" w:rsidRDefault="00AF2E8D" w:rsidP="00AF2E8D">
      <w:pPr>
        <w:pStyle w:val="ListParagraph"/>
        <w:spacing w:after="0"/>
        <w:ind w:left="1080" w:right="1440"/>
        <w:rPr>
          <w:rFonts w:ascii="Arial" w:eastAsia="Times New Roman" w:hAnsi="Arial" w:cs="Times New Roman"/>
          <w:noProof/>
          <w:szCs w:val="24"/>
          <w:lang w:val="en-GB"/>
        </w:rPr>
      </w:pPr>
    </w:p>
    <w:p w14:paraId="6D67D045" w14:textId="77777777" w:rsidR="00204819" w:rsidRDefault="002061FC" w:rsidP="002061FC">
      <w:pPr>
        <w:spacing w:after="0"/>
        <w:rPr>
          <w:rFonts w:ascii="Arial" w:eastAsia="Times New Roman" w:hAnsi="Arial" w:cs="Times New Roman"/>
          <w:noProof/>
          <w:szCs w:val="24"/>
          <w:lang w:val="en-GB"/>
        </w:rPr>
      </w:pPr>
      <w:r>
        <w:rPr>
          <w:rFonts w:ascii="Arial" w:eastAsia="Times New Roman" w:hAnsi="Arial" w:cs="Times New Roman"/>
          <w:noProof/>
          <w:szCs w:val="24"/>
          <w:lang w:val="en-GB"/>
        </w:rPr>
        <w:t xml:space="preserve">It is notable that this section addresses two types of urban amendments: those that </w:t>
      </w:r>
      <w:r w:rsidR="003C5437">
        <w:rPr>
          <w:rFonts w:ascii="Arial" w:eastAsia="Times New Roman" w:hAnsi="Arial" w:cs="Times New Roman"/>
          <w:noProof/>
          <w:szCs w:val="24"/>
          <w:lang w:val="en-GB"/>
        </w:rPr>
        <w:t xml:space="preserve">would change a land use designation to allow for urban development, </w:t>
      </w:r>
      <w:r>
        <w:rPr>
          <w:rFonts w:ascii="Arial" w:eastAsia="Times New Roman" w:hAnsi="Arial" w:cs="Times New Roman"/>
          <w:noProof/>
          <w:szCs w:val="24"/>
          <w:lang w:val="en-GB"/>
        </w:rPr>
        <w:t>and those that would not seek a re-designation of land, but would allow for a site-specific policy amendment that would allow for an “urban use.”</w:t>
      </w:r>
    </w:p>
    <w:p w14:paraId="211E7B64" w14:textId="77777777" w:rsidR="00204819" w:rsidRDefault="00204819" w:rsidP="002061FC">
      <w:pPr>
        <w:spacing w:after="0"/>
        <w:rPr>
          <w:rFonts w:ascii="Arial" w:eastAsia="Times New Roman" w:hAnsi="Arial" w:cs="Times New Roman"/>
          <w:noProof/>
          <w:szCs w:val="24"/>
          <w:lang w:val="en-GB"/>
        </w:rPr>
      </w:pPr>
    </w:p>
    <w:p w14:paraId="472841A0" w14:textId="19E71F6D" w:rsidR="00204819" w:rsidRDefault="00204819" w:rsidP="00204819">
      <w:pPr>
        <w:spacing w:after="0"/>
        <w:rPr>
          <w:rFonts w:ascii="Arial" w:eastAsia="Times New Roman" w:hAnsi="Arial" w:cs="Times New Roman"/>
          <w:noProof/>
          <w:szCs w:val="24"/>
          <w:lang w:val="en-GB"/>
        </w:rPr>
      </w:pPr>
      <w:r>
        <w:rPr>
          <w:rFonts w:ascii="Arial" w:eastAsia="Times New Roman" w:hAnsi="Arial" w:cs="Times New Roman"/>
          <w:noProof/>
          <w:szCs w:val="24"/>
          <w:lang w:val="en-GB"/>
        </w:rPr>
        <w:t>The prohibition on urban amendments in subsection 2.2 is not absolute. Subsection 2.3 makes an exception</w:t>
      </w:r>
      <w:r w:rsidR="00D10C62">
        <w:rPr>
          <w:rFonts w:ascii="Arial" w:eastAsia="Times New Roman" w:hAnsi="Arial" w:cs="Times New Roman"/>
          <w:noProof/>
          <w:szCs w:val="24"/>
          <w:lang w:val="en-GB"/>
        </w:rPr>
        <w:t>, allowing such amendments to be considered during a review of the NEP</w:t>
      </w:r>
      <w:r>
        <w:rPr>
          <w:rFonts w:ascii="Arial" w:eastAsia="Times New Roman" w:hAnsi="Arial" w:cs="Times New Roman"/>
          <w:noProof/>
          <w:szCs w:val="24"/>
          <w:lang w:val="en-GB"/>
        </w:rPr>
        <w:t>:</w:t>
      </w:r>
    </w:p>
    <w:p w14:paraId="52AD50B8" w14:textId="77777777" w:rsidR="009043EF" w:rsidRDefault="009043EF" w:rsidP="00204819">
      <w:pPr>
        <w:spacing w:after="0"/>
        <w:rPr>
          <w:rFonts w:ascii="Arial" w:eastAsia="Times New Roman" w:hAnsi="Arial" w:cs="Times New Roman"/>
          <w:noProof/>
          <w:szCs w:val="24"/>
          <w:lang w:val="en-GB"/>
        </w:rPr>
      </w:pPr>
    </w:p>
    <w:p w14:paraId="068D7913" w14:textId="7B23EFCC" w:rsidR="00204819" w:rsidRDefault="00204819" w:rsidP="00643386">
      <w:pPr>
        <w:ind w:left="720" w:right="720"/>
        <w:rPr>
          <w:noProof/>
          <w:lang w:val="en-GB"/>
        </w:rPr>
      </w:pPr>
      <w:r>
        <w:rPr>
          <w:noProof/>
          <w:lang w:val="en-GB"/>
        </w:rPr>
        <w:t>“</w:t>
      </w:r>
      <w:r w:rsidRPr="009C07DB">
        <w:rPr>
          <w:noProof/>
          <w:lang w:val="en-GB"/>
        </w:rPr>
        <w:t xml:space="preserve">Despite subsection (2.2), an application, request or proposal to </w:t>
      </w:r>
      <w:r>
        <w:rPr>
          <w:noProof/>
          <w:lang w:val="en-GB"/>
        </w:rPr>
        <w:t xml:space="preserve"> r</w:t>
      </w:r>
      <w:r w:rsidRPr="009C07DB">
        <w:rPr>
          <w:noProof/>
          <w:lang w:val="en-GB"/>
        </w:rPr>
        <w:t>edesignate land in the Niagara Escarpment Plan to the land use designation of Minor Urban Centre, Urban Area or Escarpment Recreation Area of the Niagara Escarpment Plan or to amend the Niagara Escarpment Plan to permit urban uses may be made during the review set out in subsection 17 (1) and in order for any such application, request or proposal to be considered during the review it must be included in the terms of reference established for the review under subsection 17 (2).</w:t>
      </w:r>
      <w:r>
        <w:rPr>
          <w:noProof/>
          <w:lang w:val="en-GB"/>
        </w:rPr>
        <w:t>”</w:t>
      </w:r>
    </w:p>
    <w:p w14:paraId="29A02AEB" w14:textId="31DEE83A" w:rsidR="003C5437" w:rsidRDefault="00204819" w:rsidP="00204819">
      <w:pPr>
        <w:ind w:right="720"/>
        <w:rPr>
          <w:rFonts w:ascii="Arial" w:eastAsia="Times New Roman" w:hAnsi="Arial" w:cs="Times New Roman"/>
          <w:noProof/>
          <w:szCs w:val="24"/>
          <w:lang w:val="en-GB"/>
        </w:rPr>
      </w:pPr>
      <w:r>
        <w:rPr>
          <w:rFonts w:ascii="Arial" w:eastAsia="Times New Roman" w:hAnsi="Arial" w:cs="Times New Roman"/>
          <w:noProof/>
          <w:szCs w:val="24"/>
          <w:lang w:val="en-GB"/>
        </w:rPr>
        <w:lastRenderedPageBreak/>
        <w:t xml:space="preserve">The year 2015 was the first such review of the NEP that allowed for the consideration of such amendments. Both types of urban amendments—changes to an urban land use designation as well as requests for urban uses—were considered during the 2015 review. </w:t>
      </w:r>
      <w:r w:rsidR="003C5437">
        <w:rPr>
          <w:rFonts w:ascii="Arial" w:eastAsia="Times New Roman" w:hAnsi="Arial" w:cs="Times New Roman"/>
          <w:noProof/>
          <w:szCs w:val="24"/>
          <w:lang w:val="en-GB"/>
        </w:rPr>
        <w:t>Examples of each follow:</w:t>
      </w:r>
    </w:p>
    <w:p w14:paraId="70FB4218" w14:textId="45972978" w:rsidR="003C5437" w:rsidRPr="003C5437" w:rsidRDefault="00204819" w:rsidP="003C1CB1">
      <w:pPr>
        <w:pStyle w:val="Heading5"/>
        <w:numPr>
          <w:ilvl w:val="0"/>
          <w:numId w:val="23"/>
        </w:numPr>
      </w:pPr>
      <w:r>
        <w:t xml:space="preserve">Land </w:t>
      </w:r>
      <w:r w:rsidR="006557EF">
        <w:t>u</w:t>
      </w:r>
      <w:r>
        <w:t>se r</w:t>
      </w:r>
      <w:r w:rsidR="003C5437" w:rsidRPr="003C5437">
        <w:t>e-designation to allow for urban development:</w:t>
      </w:r>
    </w:p>
    <w:p w14:paraId="2DCCDEA3" w14:textId="3B72E037" w:rsidR="003C5437" w:rsidRPr="003C5437" w:rsidRDefault="003C5437" w:rsidP="003C5437">
      <w:pPr>
        <w:spacing w:after="0"/>
        <w:ind w:left="720"/>
        <w:rPr>
          <w:rFonts w:ascii="Arial" w:eastAsia="Times New Roman" w:hAnsi="Arial" w:cs="Times New Roman"/>
          <w:noProof/>
          <w:szCs w:val="24"/>
          <w:lang w:val="en-GB"/>
        </w:rPr>
      </w:pPr>
      <w:r w:rsidRPr="003C5437">
        <w:rPr>
          <w:rFonts w:ascii="Arial" w:eastAsia="Times New Roman" w:hAnsi="Arial" w:cs="Times New Roman"/>
          <w:noProof/>
          <w:szCs w:val="24"/>
          <w:lang w:val="en-GB"/>
        </w:rPr>
        <w:t>The designation on NEP mapping change</w:t>
      </w:r>
      <w:r>
        <w:rPr>
          <w:rFonts w:ascii="Arial" w:eastAsia="Times New Roman" w:hAnsi="Arial" w:cs="Times New Roman"/>
          <w:noProof/>
          <w:szCs w:val="24"/>
          <w:lang w:val="en-GB"/>
        </w:rPr>
        <w:t>s</w:t>
      </w:r>
      <w:r w:rsidRPr="003C5437">
        <w:rPr>
          <w:rFonts w:ascii="Arial" w:eastAsia="Times New Roman" w:hAnsi="Arial" w:cs="Times New Roman"/>
          <w:noProof/>
          <w:szCs w:val="24"/>
          <w:lang w:val="en-GB"/>
        </w:rPr>
        <w:t xml:space="preserve"> to Urban Area, Minor Urban Centre, or Escarpment Recreation Area</w:t>
      </w:r>
      <w:r>
        <w:rPr>
          <w:rFonts w:ascii="Arial" w:eastAsia="Times New Roman" w:hAnsi="Arial" w:cs="Times New Roman"/>
          <w:noProof/>
          <w:szCs w:val="24"/>
          <w:lang w:val="en-GB"/>
        </w:rPr>
        <w:t xml:space="preserve">. </w:t>
      </w:r>
      <w:r w:rsidR="003C1CB1">
        <w:rPr>
          <w:rFonts w:ascii="Arial" w:eastAsia="Times New Roman" w:hAnsi="Arial" w:cs="Times New Roman"/>
          <w:noProof/>
          <w:szCs w:val="24"/>
          <w:lang w:val="en-GB"/>
        </w:rPr>
        <w:t>An e</w:t>
      </w:r>
      <w:r>
        <w:rPr>
          <w:rFonts w:ascii="Arial" w:eastAsia="Times New Roman" w:hAnsi="Arial" w:cs="Times New Roman"/>
          <w:noProof/>
          <w:szCs w:val="24"/>
          <w:lang w:val="en-GB"/>
        </w:rPr>
        <w:t>xample</w:t>
      </w:r>
      <w:r w:rsidR="003C1CB1">
        <w:rPr>
          <w:rFonts w:ascii="Arial" w:eastAsia="Times New Roman" w:hAnsi="Arial" w:cs="Times New Roman"/>
          <w:noProof/>
          <w:szCs w:val="24"/>
          <w:lang w:val="en-GB"/>
        </w:rPr>
        <w:t xml:space="preserve"> </w:t>
      </w:r>
      <w:r>
        <w:rPr>
          <w:rFonts w:ascii="Arial" w:eastAsia="Times New Roman" w:hAnsi="Arial" w:cs="Times New Roman"/>
          <w:noProof/>
          <w:szCs w:val="24"/>
          <w:lang w:val="en-GB"/>
        </w:rPr>
        <w:t>from the 2015 review of the Niagara Escarpment Plan include</w:t>
      </w:r>
      <w:r w:rsidR="003C1CB1">
        <w:rPr>
          <w:rFonts w:ascii="Arial" w:eastAsia="Times New Roman" w:hAnsi="Arial" w:cs="Times New Roman"/>
          <w:noProof/>
          <w:szCs w:val="24"/>
          <w:lang w:val="en-GB"/>
        </w:rPr>
        <w:t>s</w:t>
      </w:r>
      <w:r>
        <w:rPr>
          <w:rFonts w:ascii="Arial" w:eastAsia="Times New Roman" w:hAnsi="Arial" w:cs="Times New Roman"/>
          <w:noProof/>
          <w:szCs w:val="24"/>
          <w:lang w:val="en-GB"/>
        </w:rPr>
        <w:t xml:space="preserve"> the </w:t>
      </w:r>
      <w:r w:rsidR="00204819">
        <w:rPr>
          <w:rFonts w:ascii="Arial" w:eastAsia="Times New Roman" w:hAnsi="Arial" w:cs="Times New Roman"/>
          <w:noProof/>
          <w:szCs w:val="24"/>
          <w:lang w:val="en-GB"/>
        </w:rPr>
        <w:t>re-designation of the Albright retirement community in Beamsille to Urban Area</w:t>
      </w:r>
      <w:r>
        <w:rPr>
          <w:rFonts w:ascii="Arial" w:eastAsia="Times New Roman" w:hAnsi="Arial" w:cs="Times New Roman"/>
          <w:noProof/>
          <w:szCs w:val="24"/>
          <w:lang w:val="en-GB"/>
        </w:rPr>
        <w:t xml:space="preserve"> (Figure </w:t>
      </w:r>
      <w:r w:rsidR="003C1CB1">
        <w:rPr>
          <w:rFonts w:ascii="Arial" w:eastAsia="Times New Roman" w:hAnsi="Arial" w:cs="Times New Roman"/>
          <w:noProof/>
          <w:szCs w:val="24"/>
          <w:lang w:val="en-GB"/>
        </w:rPr>
        <w:t>1</w:t>
      </w:r>
      <w:r>
        <w:rPr>
          <w:rFonts w:ascii="Arial" w:eastAsia="Times New Roman" w:hAnsi="Arial" w:cs="Times New Roman"/>
          <w:noProof/>
          <w:szCs w:val="24"/>
          <w:lang w:val="en-GB"/>
        </w:rPr>
        <w:t>).</w:t>
      </w:r>
    </w:p>
    <w:p w14:paraId="4CD7185D" w14:textId="396503F9" w:rsidR="003C5437" w:rsidRDefault="003C5437" w:rsidP="003363EA">
      <w:pPr>
        <w:spacing w:after="0"/>
        <w:ind w:left="720"/>
        <w:rPr>
          <w:rFonts w:ascii="Arial" w:eastAsia="Times New Roman" w:hAnsi="Arial" w:cs="Times New Roman"/>
          <w:noProof/>
          <w:szCs w:val="24"/>
          <w:lang w:val="en-GB"/>
        </w:rPr>
      </w:pPr>
    </w:p>
    <w:p w14:paraId="735632D5" w14:textId="6EFEADFF" w:rsidR="00F232C6" w:rsidRPr="002B0712" w:rsidRDefault="00F232C6" w:rsidP="003363EA">
      <w:pPr>
        <w:spacing w:after="0"/>
        <w:ind w:left="720"/>
        <w:rPr>
          <w:rFonts w:ascii="Arial" w:eastAsia="Times New Roman" w:hAnsi="Arial" w:cs="Times New Roman"/>
          <w:b/>
          <w:bCs/>
          <w:noProof/>
          <w:szCs w:val="24"/>
          <w:lang w:val="en-GB"/>
        </w:rPr>
      </w:pPr>
      <w:r w:rsidRPr="002B0712">
        <w:rPr>
          <w:rFonts w:ascii="Arial" w:eastAsia="Times New Roman" w:hAnsi="Arial" w:cs="Times New Roman"/>
          <w:b/>
          <w:bCs/>
          <w:noProof/>
          <w:szCs w:val="24"/>
          <w:lang w:val="en-GB"/>
        </w:rPr>
        <w:t xml:space="preserve">Figure </w:t>
      </w:r>
      <w:r w:rsidR="003C1CB1">
        <w:rPr>
          <w:rFonts w:ascii="Arial" w:eastAsia="Times New Roman" w:hAnsi="Arial" w:cs="Times New Roman"/>
          <w:b/>
          <w:bCs/>
          <w:noProof/>
          <w:szCs w:val="24"/>
          <w:lang w:val="en-GB"/>
        </w:rPr>
        <w:t>1</w:t>
      </w:r>
      <w:r w:rsidRPr="002B0712">
        <w:rPr>
          <w:rFonts w:ascii="Arial" w:eastAsia="Times New Roman" w:hAnsi="Arial" w:cs="Times New Roman"/>
          <w:b/>
          <w:bCs/>
          <w:noProof/>
          <w:szCs w:val="24"/>
          <w:lang w:val="en-GB"/>
        </w:rPr>
        <w:t xml:space="preserve">: </w:t>
      </w:r>
      <w:r w:rsidR="002B0712" w:rsidRPr="002B0712">
        <w:rPr>
          <w:rFonts w:ascii="Arial" w:eastAsia="Times New Roman" w:hAnsi="Arial" w:cs="Times New Roman"/>
          <w:b/>
          <w:bCs/>
          <w:noProof/>
          <w:szCs w:val="24"/>
          <w:lang w:val="en-GB"/>
        </w:rPr>
        <w:t>Abright Centre,</w:t>
      </w:r>
      <w:r w:rsidRPr="002B0712">
        <w:rPr>
          <w:rFonts w:ascii="Arial" w:eastAsia="Times New Roman" w:hAnsi="Arial" w:cs="Times New Roman"/>
          <w:b/>
          <w:bCs/>
          <w:noProof/>
          <w:szCs w:val="24"/>
          <w:lang w:val="en-GB"/>
        </w:rPr>
        <w:t xml:space="preserve"> </w:t>
      </w:r>
      <w:r w:rsidR="002B0712" w:rsidRPr="002B0712">
        <w:rPr>
          <w:rFonts w:ascii="Arial" w:eastAsia="Times New Roman" w:hAnsi="Arial" w:cs="Times New Roman"/>
          <w:b/>
          <w:bCs/>
          <w:noProof/>
          <w:szCs w:val="24"/>
          <w:lang w:val="en-GB"/>
        </w:rPr>
        <w:t>Town of Lincoln</w:t>
      </w:r>
    </w:p>
    <w:p w14:paraId="2D4EC34D" w14:textId="738FDD94" w:rsidR="002B0712" w:rsidRDefault="002B0712" w:rsidP="003363EA">
      <w:pPr>
        <w:spacing w:after="0"/>
        <w:ind w:left="720"/>
        <w:rPr>
          <w:rFonts w:ascii="Arial" w:eastAsia="Times New Roman" w:hAnsi="Arial" w:cs="Times New Roman"/>
          <w:noProof/>
          <w:szCs w:val="24"/>
          <w:lang w:val="en-GB"/>
        </w:rPr>
      </w:pPr>
      <w:r w:rsidRPr="002B0712">
        <w:rPr>
          <w:rFonts w:ascii="Arial" w:eastAsia="Times New Roman" w:hAnsi="Arial" w:cs="Times New Roman"/>
          <w:b/>
          <w:bCs/>
          <w:noProof/>
          <w:szCs w:val="24"/>
          <w:lang w:val="en-GB"/>
        </w:rPr>
        <w:t>Before:</w:t>
      </w:r>
      <w:r>
        <w:rPr>
          <w:rFonts w:ascii="Arial" w:eastAsia="Times New Roman" w:hAnsi="Arial" w:cs="Times New Roman"/>
          <w:noProof/>
          <w:szCs w:val="24"/>
          <w:lang w:val="en-GB"/>
        </w:rPr>
        <w:t xml:space="preserve"> Escarpment Protection Area</w:t>
      </w:r>
      <w:r>
        <w:rPr>
          <w:rFonts w:ascii="Arial" w:eastAsia="Times New Roman" w:hAnsi="Arial" w:cs="Times New Roman"/>
          <w:noProof/>
          <w:szCs w:val="24"/>
          <w:lang w:val="en-GB"/>
        </w:rPr>
        <w:tab/>
      </w:r>
      <w:r>
        <w:rPr>
          <w:rFonts w:ascii="Arial" w:eastAsia="Times New Roman" w:hAnsi="Arial" w:cs="Times New Roman"/>
          <w:noProof/>
          <w:szCs w:val="24"/>
          <w:lang w:val="en-GB"/>
        </w:rPr>
        <w:tab/>
      </w:r>
      <w:r w:rsidRPr="002B0712">
        <w:rPr>
          <w:rFonts w:ascii="Arial" w:eastAsia="Times New Roman" w:hAnsi="Arial" w:cs="Times New Roman"/>
          <w:b/>
          <w:bCs/>
          <w:noProof/>
          <w:szCs w:val="24"/>
          <w:lang w:val="en-GB"/>
        </w:rPr>
        <w:t>After:</w:t>
      </w:r>
      <w:r>
        <w:rPr>
          <w:rFonts w:ascii="Arial" w:eastAsia="Times New Roman" w:hAnsi="Arial" w:cs="Times New Roman"/>
          <w:noProof/>
          <w:szCs w:val="24"/>
          <w:lang w:val="en-GB"/>
        </w:rPr>
        <w:t xml:space="preserve"> Urban Area</w:t>
      </w:r>
    </w:p>
    <w:p w14:paraId="6320A0CF" w14:textId="40F7141E" w:rsidR="00F232C6" w:rsidRDefault="002B0712" w:rsidP="003363EA">
      <w:pPr>
        <w:spacing w:after="0"/>
        <w:ind w:left="720"/>
        <w:rPr>
          <w:rFonts w:ascii="Arial" w:eastAsia="Times New Roman" w:hAnsi="Arial" w:cs="Times New Roman"/>
          <w:noProof/>
          <w:szCs w:val="24"/>
          <w:lang w:val="en-GB"/>
        </w:rPr>
      </w:pPr>
      <w:r>
        <w:rPr>
          <w:noProof/>
        </w:rPr>
        <w:drawing>
          <wp:inline distT="0" distB="0" distL="0" distR="0" wp14:anchorId="61CBA2A8" wp14:editId="02FE89D9">
            <wp:extent cx="5943600" cy="2164080"/>
            <wp:effectExtent l="19050" t="19050" r="19050"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164080"/>
                    </a:xfrm>
                    <a:prstGeom prst="rect">
                      <a:avLst/>
                    </a:prstGeom>
                    <a:ln>
                      <a:solidFill>
                        <a:srgbClr val="000000"/>
                      </a:solidFill>
                    </a:ln>
                  </pic:spPr>
                </pic:pic>
              </a:graphicData>
            </a:graphic>
          </wp:inline>
        </w:drawing>
      </w:r>
    </w:p>
    <w:p w14:paraId="01A683DE" w14:textId="00552918" w:rsidR="002B0712" w:rsidRDefault="002B0712" w:rsidP="003C1CB1">
      <w:pPr>
        <w:pStyle w:val="Heading5"/>
        <w:numPr>
          <w:ilvl w:val="0"/>
          <w:numId w:val="23"/>
        </w:numPr>
        <w:rPr>
          <w:rFonts w:eastAsia="Times New Roman"/>
          <w:noProof/>
          <w:lang w:val="en-GB"/>
        </w:rPr>
      </w:pPr>
      <w:r>
        <w:rPr>
          <w:rFonts w:eastAsia="Times New Roman"/>
          <w:noProof/>
          <w:lang w:val="en-GB"/>
        </w:rPr>
        <w:t>Special policy amendment to allow for an urban use:</w:t>
      </w:r>
    </w:p>
    <w:p w14:paraId="6E42F266" w14:textId="6010C31C" w:rsidR="002B0712" w:rsidRPr="002B0712" w:rsidRDefault="00D10C62" w:rsidP="002B0712">
      <w:pPr>
        <w:spacing w:after="0"/>
        <w:ind w:left="720"/>
        <w:rPr>
          <w:rFonts w:ascii="Arial" w:eastAsia="Times New Roman" w:hAnsi="Arial" w:cs="Times New Roman"/>
          <w:noProof/>
          <w:szCs w:val="24"/>
          <w:lang w:val="en-GB"/>
        </w:rPr>
      </w:pPr>
      <w:r>
        <w:rPr>
          <w:rFonts w:ascii="Arial" w:eastAsia="Times New Roman" w:hAnsi="Arial" w:cs="Times New Roman"/>
          <w:noProof/>
          <w:szCs w:val="24"/>
          <w:lang w:val="en-GB"/>
        </w:rPr>
        <w:t xml:space="preserve">For these amendments, </w:t>
      </w:r>
      <w:r w:rsidR="002B0712">
        <w:rPr>
          <w:rFonts w:ascii="Arial" w:eastAsia="Times New Roman" w:hAnsi="Arial" w:cs="Times New Roman"/>
          <w:noProof/>
          <w:szCs w:val="24"/>
          <w:lang w:val="en-GB"/>
        </w:rPr>
        <w:t>exception</w:t>
      </w:r>
      <w:r>
        <w:rPr>
          <w:rFonts w:ascii="Arial" w:eastAsia="Times New Roman" w:hAnsi="Arial" w:cs="Times New Roman"/>
          <w:noProof/>
          <w:szCs w:val="24"/>
          <w:lang w:val="en-GB"/>
        </w:rPr>
        <w:t>s are</w:t>
      </w:r>
      <w:r w:rsidR="002B0712">
        <w:rPr>
          <w:rFonts w:ascii="Arial" w:eastAsia="Times New Roman" w:hAnsi="Arial" w:cs="Times New Roman"/>
          <w:noProof/>
          <w:szCs w:val="24"/>
          <w:lang w:val="en-GB"/>
        </w:rPr>
        <w:t xml:space="preserve"> made to allow for a more intensive land use</w:t>
      </w:r>
      <w:r>
        <w:rPr>
          <w:rFonts w:ascii="Arial" w:eastAsia="Times New Roman" w:hAnsi="Arial" w:cs="Times New Roman"/>
          <w:noProof/>
          <w:szCs w:val="24"/>
          <w:lang w:val="en-GB"/>
        </w:rPr>
        <w:t>s</w:t>
      </w:r>
      <w:r w:rsidR="002B0712">
        <w:rPr>
          <w:rFonts w:ascii="Arial" w:eastAsia="Times New Roman" w:hAnsi="Arial" w:cs="Times New Roman"/>
          <w:noProof/>
          <w:szCs w:val="24"/>
          <w:lang w:val="en-GB"/>
        </w:rPr>
        <w:t xml:space="preserve"> (i.e., “urban use</w:t>
      </w:r>
      <w:r>
        <w:rPr>
          <w:rFonts w:ascii="Arial" w:eastAsia="Times New Roman" w:hAnsi="Arial" w:cs="Times New Roman"/>
          <w:noProof/>
          <w:szCs w:val="24"/>
          <w:lang w:val="en-GB"/>
        </w:rPr>
        <w:t>s</w:t>
      </w:r>
      <w:r w:rsidR="002B0712">
        <w:rPr>
          <w:rFonts w:ascii="Arial" w:eastAsia="Times New Roman" w:hAnsi="Arial" w:cs="Times New Roman"/>
          <w:noProof/>
          <w:szCs w:val="24"/>
          <w:lang w:val="en-GB"/>
        </w:rPr>
        <w:t xml:space="preserve">”) in a designation that would otherwise </w:t>
      </w:r>
      <w:r w:rsidR="003363EA">
        <w:rPr>
          <w:rFonts w:ascii="Arial" w:eastAsia="Times New Roman" w:hAnsi="Arial" w:cs="Times New Roman"/>
          <w:noProof/>
          <w:szCs w:val="24"/>
          <w:lang w:val="en-GB"/>
        </w:rPr>
        <w:t xml:space="preserve">not </w:t>
      </w:r>
      <w:r w:rsidR="002B0712">
        <w:rPr>
          <w:rFonts w:ascii="Arial" w:eastAsia="Times New Roman" w:hAnsi="Arial" w:cs="Times New Roman"/>
          <w:noProof/>
          <w:szCs w:val="24"/>
          <w:lang w:val="en-GB"/>
        </w:rPr>
        <w:t xml:space="preserve">permit that use. </w:t>
      </w:r>
      <w:r>
        <w:rPr>
          <w:rFonts w:ascii="Arial" w:eastAsia="Times New Roman" w:hAnsi="Arial" w:cs="Times New Roman"/>
          <w:noProof/>
          <w:szCs w:val="24"/>
          <w:lang w:val="en-GB"/>
        </w:rPr>
        <w:t>N</w:t>
      </w:r>
      <w:r w:rsidR="003363EA">
        <w:rPr>
          <w:rFonts w:ascii="Arial" w:eastAsia="Times New Roman" w:hAnsi="Arial" w:cs="Times New Roman"/>
          <w:noProof/>
          <w:szCs w:val="24"/>
          <w:lang w:val="en-GB"/>
        </w:rPr>
        <w:t xml:space="preserve">o change </w:t>
      </w:r>
      <w:r w:rsidR="00204819">
        <w:rPr>
          <w:rFonts w:ascii="Arial" w:eastAsia="Times New Roman" w:hAnsi="Arial" w:cs="Times New Roman"/>
          <w:noProof/>
          <w:szCs w:val="24"/>
          <w:lang w:val="en-GB"/>
        </w:rPr>
        <w:t>to</w:t>
      </w:r>
      <w:r w:rsidR="003363EA">
        <w:rPr>
          <w:rFonts w:ascii="Arial" w:eastAsia="Times New Roman" w:hAnsi="Arial" w:cs="Times New Roman"/>
          <w:noProof/>
          <w:szCs w:val="24"/>
          <w:lang w:val="en-GB"/>
        </w:rPr>
        <w:t xml:space="preserve"> the land use designation</w:t>
      </w:r>
      <w:r>
        <w:rPr>
          <w:rFonts w:ascii="Arial" w:eastAsia="Times New Roman" w:hAnsi="Arial" w:cs="Times New Roman"/>
          <w:noProof/>
          <w:szCs w:val="24"/>
          <w:lang w:val="en-GB"/>
        </w:rPr>
        <w:t xml:space="preserve"> is sought</w:t>
      </w:r>
      <w:r w:rsidR="003363EA">
        <w:rPr>
          <w:rFonts w:ascii="Arial" w:eastAsia="Times New Roman" w:hAnsi="Arial" w:cs="Times New Roman"/>
          <w:noProof/>
          <w:szCs w:val="24"/>
          <w:lang w:val="en-GB"/>
        </w:rPr>
        <w:t xml:space="preserve">. </w:t>
      </w:r>
      <w:r w:rsidR="002B0712">
        <w:rPr>
          <w:rFonts w:ascii="Arial" w:eastAsia="Times New Roman" w:hAnsi="Arial" w:cs="Times New Roman"/>
          <w:noProof/>
          <w:szCs w:val="24"/>
          <w:lang w:val="en-GB"/>
        </w:rPr>
        <w:t>Examples from the 2015 review of the NEP include allowing water and wastewater servicing</w:t>
      </w:r>
      <w:r w:rsidR="003363EA">
        <w:rPr>
          <w:rFonts w:ascii="Arial" w:eastAsia="Times New Roman" w:hAnsi="Arial" w:cs="Times New Roman"/>
          <w:noProof/>
          <w:szCs w:val="24"/>
          <w:lang w:val="en-GB"/>
        </w:rPr>
        <w:t xml:space="preserve"> to extend beyond the Town of Milton’s settlement area</w:t>
      </w:r>
      <w:r w:rsidR="002B0712">
        <w:rPr>
          <w:rFonts w:ascii="Arial" w:eastAsia="Times New Roman" w:hAnsi="Arial" w:cs="Times New Roman"/>
          <w:noProof/>
          <w:szCs w:val="24"/>
          <w:lang w:val="en-GB"/>
        </w:rPr>
        <w:t xml:space="preserve"> in</w:t>
      </w:r>
      <w:r w:rsidR="003363EA">
        <w:rPr>
          <w:rFonts w:ascii="Arial" w:eastAsia="Times New Roman" w:hAnsi="Arial" w:cs="Times New Roman"/>
          <w:noProof/>
          <w:szCs w:val="24"/>
          <w:lang w:val="en-GB"/>
        </w:rPr>
        <w:t>to</w:t>
      </w:r>
      <w:r w:rsidR="002B0712">
        <w:rPr>
          <w:rFonts w:ascii="Arial" w:eastAsia="Times New Roman" w:hAnsi="Arial" w:cs="Times New Roman"/>
          <w:noProof/>
          <w:szCs w:val="24"/>
          <w:lang w:val="en-GB"/>
        </w:rPr>
        <w:t xml:space="preserve"> the Kelso Glen Eden Conservation Area, and </w:t>
      </w:r>
      <w:r w:rsidR="003363EA">
        <w:rPr>
          <w:rFonts w:ascii="Arial" w:eastAsia="Times New Roman" w:hAnsi="Arial" w:cs="Times New Roman"/>
          <w:noProof/>
          <w:szCs w:val="24"/>
          <w:lang w:val="en-GB"/>
        </w:rPr>
        <w:t>allow</w:t>
      </w:r>
      <w:r w:rsidR="00204819">
        <w:rPr>
          <w:rFonts w:ascii="Arial" w:eastAsia="Times New Roman" w:hAnsi="Arial" w:cs="Times New Roman"/>
          <w:noProof/>
          <w:szCs w:val="24"/>
          <w:lang w:val="en-GB"/>
        </w:rPr>
        <w:t>ing</w:t>
      </w:r>
      <w:r w:rsidR="003363EA">
        <w:rPr>
          <w:rFonts w:ascii="Arial" w:eastAsia="Times New Roman" w:hAnsi="Arial" w:cs="Times New Roman"/>
          <w:noProof/>
          <w:szCs w:val="24"/>
          <w:lang w:val="en-GB"/>
        </w:rPr>
        <w:t xml:space="preserve"> the Burlington Memorial Gardens cemetery to expand </w:t>
      </w:r>
      <w:r w:rsidR="00204819">
        <w:rPr>
          <w:rFonts w:ascii="Arial" w:eastAsia="Times New Roman" w:hAnsi="Arial" w:cs="Times New Roman"/>
          <w:noProof/>
          <w:szCs w:val="24"/>
          <w:lang w:val="en-GB"/>
        </w:rPr>
        <w:t xml:space="preserve">beyond </w:t>
      </w:r>
      <w:r w:rsidR="003363EA">
        <w:rPr>
          <w:rFonts w:ascii="Arial" w:eastAsia="Times New Roman" w:hAnsi="Arial" w:cs="Times New Roman"/>
          <w:noProof/>
          <w:szCs w:val="24"/>
          <w:lang w:val="en-GB"/>
        </w:rPr>
        <w:t xml:space="preserve">what would normally be permitted for an institutional use. </w:t>
      </w:r>
      <w:r w:rsidR="00272C7C">
        <w:rPr>
          <w:rFonts w:ascii="Arial" w:eastAsia="Times New Roman" w:hAnsi="Arial" w:cs="Times New Roman"/>
          <w:noProof/>
          <w:szCs w:val="24"/>
          <w:lang w:val="en-GB"/>
        </w:rPr>
        <w:t>These site-specific policies are most often incorporated into the NEP as “notwithstanding” clauses.</w:t>
      </w:r>
    </w:p>
    <w:p w14:paraId="4616C424" w14:textId="77777777" w:rsidR="002B0712" w:rsidRDefault="002B0712" w:rsidP="002061FC">
      <w:pPr>
        <w:spacing w:after="0"/>
        <w:rPr>
          <w:rFonts w:ascii="Arial" w:eastAsia="Times New Roman" w:hAnsi="Arial" w:cs="Times New Roman"/>
          <w:noProof/>
          <w:szCs w:val="24"/>
          <w:lang w:val="en-GB"/>
        </w:rPr>
      </w:pPr>
    </w:p>
    <w:p w14:paraId="35B9293B" w14:textId="33BA7C79" w:rsidR="002061FC" w:rsidRDefault="003363EA" w:rsidP="002061FC">
      <w:pPr>
        <w:spacing w:after="0"/>
        <w:rPr>
          <w:rFonts w:ascii="Arial" w:eastAsia="Times New Roman" w:hAnsi="Arial" w:cs="Times New Roman"/>
          <w:noProof/>
          <w:szCs w:val="24"/>
          <w:lang w:val="en-GB"/>
        </w:rPr>
      </w:pPr>
      <w:r>
        <w:rPr>
          <w:rFonts w:ascii="Arial" w:eastAsia="Times New Roman" w:hAnsi="Arial" w:cs="Times New Roman"/>
          <w:noProof/>
          <w:szCs w:val="24"/>
          <w:lang w:val="en-GB"/>
        </w:rPr>
        <w:t>Although the</w:t>
      </w:r>
      <w:r w:rsidR="002061FC">
        <w:rPr>
          <w:rFonts w:ascii="Arial" w:eastAsia="Times New Roman" w:hAnsi="Arial" w:cs="Times New Roman"/>
          <w:noProof/>
          <w:szCs w:val="24"/>
          <w:lang w:val="en-GB"/>
        </w:rPr>
        <w:t xml:space="preserve"> NEPDA and NEP do not define what </w:t>
      </w:r>
      <w:r>
        <w:rPr>
          <w:rFonts w:ascii="Arial" w:eastAsia="Times New Roman" w:hAnsi="Arial" w:cs="Times New Roman"/>
          <w:noProof/>
          <w:szCs w:val="24"/>
          <w:lang w:val="en-GB"/>
        </w:rPr>
        <w:t>is meant by “</w:t>
      </w:r>
      <w:r w:rsidR="002061FC">
        <w:rPr>
          <w:rFonts w:ascii="Arial" w:eastAsia="Times New Roman" w:hAnsi="Arial" w:cs="Times New Roman"/>
          <w:noProof/>
          <w:szCs w:val="24"/>
          <w:lang w:val="en-GB"/>
        </w:rPr>
        <w:t>urban use</w:t>
      </w:r>
      <w:r>
        <w:rPr>
          <w:rFonts w:ascii="Arial" w:eastAsia="Times New Roman" w:hAnsi="Arial" w:cs="Times New Roman"/>
          <w:noProof/>
          <w:szCs w:val="24"/>
          <w:lang w:val="en-GB"/>
        </w:rPr>
        <w:t>,”</w:t>
      </w:r>
      <w:r w:rsidR="002061FC">
        <w:rPr>
          <w:rFonts w:ascii="Arial" w:eastAsia="Times New Roman" w:hAnsi="Arial" w:cs="Times New Roman"/>
          <w:noProof/>
          <w:szCs w:val="24"/>
          <w:lang w:val="en-GB"/>
        </w:rPr>
        <w:t xml:space="preserve"> section 23(e) of the NEPDA</w:t>
      </w:r>
      <w:r>
        <w:rPr>
          <w:rFonts w:ascii="Arial" w:eastAsia="Times New Roman" w:hAnsi="Arial" w:cs="Times New Roman"/>
          <w:noProof/>
          <w:szCs w:val="24"/>
          <w:lang w:val="en-GB"/>
        </w:rPr>
        <w:t xml:space="preserve"> enables</w:t>
      </w:r>
      <w:r w:rsidR="002061FC">
        <w:rPr>
          <w:rFonts w:ascii="Arial" w:eastAsia="Times New Roman" w:hAnsi="Arial" w:cs="Times New Roman"/>
          <w:noProof/>
          <w:szCs w:val="24"/>
          <w:lang w:val="en-GB"/>
        </w:rPr>
        <w:t xml:space="preserve"> the Minister to establish a regulation defining urban uses. </w:t>
      </w:r>
      <w:r>
        <w:rPr>
          <w:rFonts w:ascii="Arial" w:eastAsia="Times New Roman" w:hAnsi="Arial" w:cs="Times New Roman"/>
          <w:noProof/>
          <w:szCs w:val="24"/>
          <w:lang w:val="en-GB"/>
        </w:rPr>
        <w:t xml:space="preserve">However, no such regulation has ever been brought </w:t>
      </w:r>
      <w:r w:rsidR="00D10C62">
        <w:rPr>
          <w:rFonts w:ascii="Arial" w:eastAsia="Times New Roman" w:hAnsi="Arial" w:cs="Times New Roman"/>
          <w:noProof/>
          <w:szCs w:val="24"/>
          <w:lang w:val="en-GB"/>
        </w:rPr>
        <w:t>forward</w:t>
      </w:r>
      <w:r>
        <w:rPr>
          <w:rFonts w:ascii="Arial" w:eastAsia="Times New Roman" w:hAnsi="Arial" w:cs="Times New Roman"/>
          <w:noProof/>
          <w:szCs w:val="24"/>
          <w:lang w:val="en-GB"/>
        </w:rPr>
        <w:t xml:space="preserve">. </w:t>
      </w:r>
      <w:r w:rsidR="002061FC">
        <w:rPr>
          <w:rFonts w:ascii="Arial" w:eastAsia="Times New Roman" w:hAnsi="Arial" w:cs="Times New Roman"/>
          <w:noProof/>
          <w:szCs w:val="24"/>
          <w:lang w:val="en-GB"/>
        </w:rPr>
        <w:t>In the absence of such a regulation, the NEC has considered urban uses to be commercial, industrial, and institutional land uses, intensive recreational uses,</w:t>
      </w:r>
      <w:r>
        <w:rPr>
          <w:rFonts w:ascii="Arial" w:eastAsia="Times New Roman" w:hAnsi="Arial" w:cs="Times New Roman"/>
          <w:noProof/>
          <w:szCs w:val="24"/>
          <w:lang w:val="en-GB"/>
        </w:rPr>
        <w:t xml:space="preserve"> as well as urban servicing (water and </w:t>
      </w:r>
      <w:r>
        <w:rPr>
          <w:rFonts w:ascii="Arial" w:eastAsia="Times New Roman" w:hAnsi="Arial" w:cs="Times New Roman"/>
          <w:noProof/>
          <w:szCs w:val="24"/>
          <w:lang w:val="en-GB"/>
        </w:rPr>
        <w:lastRenderedPageBreak/>
        <w:t>wastewater)</w:t>
      </w:r>
      <w:r w:rsidR="002061FC">
        <w:rPr>
          <w:rFonts w:ascii="Arial" w:eastAsia="Times New Roman" w:hAnsi="Arial" w:cs="Times New Roman"/>
          <w:noProof/>
          <w:szCs w:val="24"/>
          <w:lang w:val="en-GB"/>
        </w:rPr>
        <w:t xml:space="preserve"> that are not considered to be compatible with the overall Purpose and Objectives of the NEP. In 200</w:t>
      </w:r>
      <w:r w:rsidR="00785D51">
        <w:rPr>
          <w:rFonts w:ascii="Arial" w:eastAsia="Times New Roman" w:hAnsi="Arial" w:cs="Times New Roman"/>
          <w:noProof/>
          <w:szCs w:val="24"/>
          <w:lang w:val="en-GB"/>
        </w:rPr>
        <w:t>5</w:t>
      </w:r>
      <w:r w:rsidR="002061FC">
        <w:rPr>
          <w:rFonts w:ascii="Arial" w:eastAsia="Times New Roman" w:hAnsi="Arial" w:cs="Times New Roman"/>
          <w:noProof/>
          <w:szCs w:val="24"/>
          <w:lang w:val="en-GB"/>
        </w:rPr>
        <w:t xml:space="preserve">, the Commission endorsed a policy that </w:t>
      </w:r>
      <w:r w:rsidR="00204819">
        <w:rPr>
          <w:rFonts w:ascii="Arial" w:eastAsia="Times New Roman" w:hAnsi="Arial" w:cs="Times New Roman"/>
          <w:noProof/>
          <w:szCs w:val="24"/>
          <w:lang w:val="en-GB"/>
        </w:rPr>
        <w:t xml:space="preserve">identified what it considered to be </w:t>
      </w:r>
      <w:r w:rsidR="002061FC">
        <w:rPr>
          <w:rFonts w:ascii="Arial" w:eastAsia="Times New Roman" w:hAnsi="Arial" w:cs="Times New Roman"/>
          <w:noProof/>
          <w:szCs w:val="24"/>
          <w:lang w:val="en-GB"/>
        </w:rPr>
        <w:t>urban use</w:t>
      </w:r>
      <w:r w:rsidR="00204819">
        <w:rPr>
          <w:rFonts w:ascii="Arial" w:eastAsia="Times New Roman" w:hAnsi="Arial" w:cs="Times New Roman"/>
          <w:noProof/>
          <w:szCs w:val="24"/>
          <w:lang w:val="en-GB"/>
        </w:rPr>
        <w:t>s to ensure a consistent approach in deferring requests for urban uses until the time of a NEP review.</w:t>
      </w:r>
      <w:r w:rsidR="00785D51">
        <w:rPr>
          <w:rFonts w:ascii="Arial" w:eastAsia="Times New Roman" w:hAnsi="Arial" w:cs="Times New Roman"/>
          <w:noProof/>
          <w:szCs w:val="24"/>
          <w:lang w:val="en-GB"/>
        </w:rPr>
        <w:t xml:space="preserve"> The Commission re-confirmed this policy in 2008.</w:t>
      </w:r>
      <w:r w:rsidR="00204819">
        <w:rPr>
          <w:rFonts w:ascii="Arial" w:eastAsia="Times New Roman" w:hAnsi="Arial" w:cs="Times New Roman"/>
          <w:noProof/>
          <w:szCs w:val="24"/>
          <w:lang w:val="en-GB"/>
        </w:rPr>
        <w:t xml:space="preserve"> The Commission’s urban use</w:t>
      </w:r>
      <w:r w:rsidR="002061FC">
        <w:rPr>
          <w:rFonts w:ascii="Arial" w:eastAsia="Times New Roman" w:hAnsi="Arial" w:cs="Times New Roman"/>
          <w:noProof/>
          <w:szCs w:val="24"/>
          <w:lang w:val="en-GB"/>
        </w:rPr>
        <w:t xml:space="preserve"> policy is included in </w:t>
      </w:r>
      <w:r w:rsidR="002061FC" w:rsidRPr="003C1CB1">
        <w:rPr>
          <w:rFonts w:ascii="Arial" w:eastAsia="Times New Roman" w:hAnsi="Arial" w:cs="Times New Roman"/>
          <w:noProof/>
          <w:szCs w:val="24"/>
          <w:lang w:val="en-GB"/>
        </w:rPr>
        <w:t>Appendix A.</w:t>
      </w:r>
    </w:p>
    <w:p w14:paraId="0A8B1072" w14:textId="1B6F8664" w:rsidR="002061FC" w:rsidRDefault="002061FC" w:rsidP="00AF2E8D">
      <w:pPr>
        <w:spacing w:after="0"/>
        <w:ind w:right="1440"/>
        <w:rPr>
          <w:rFonts w:ascii="Arial" w:eastAsia="Times New Roman" w:hAnsi="Arial" w:cs="Times New Roman"/>
          <w:noProof/>
          <w:szCs w:val="24"/>
          <w:lang w:val="en-GB"/>
        </w:rPr>
      </w:pPr>
    </w:p>
    <w:p w14:paraId="6C3C8EF4" w14:textId="4B4CEF08" w:rsidR="002C117F" w:rsidRDefault="00712A99" w:rsidP="00162CBB">
      <w:pPr>
        <w:spacing w:after="0"/>
        <w:rPr>
          <w:rFonts w:ascii="Arial" w:eastAsia="Times New Roman" w:hAnsi="Arial" w:cs="Times New Roman"/>
          <w:noProof/>
          <w:szCs w:val="24"/>
          <w:lang w:val="en-GB"/>
        </w:rPr>
      </w:pPr>
      <w:r>
        <w:rPr>
          <w:rFonts w:ascii="Arial" w:eastAsia="Times New Roman" w:hAnsi="Arial" w:cs="Times New Roman"/>
          <w:noProof/>
          <w:szCs w:val="24"/>
          <w:lang w:val="en-GB"/>
        </w:rPr>
        <w:t xml:space="preserve">In summary, an amendment to permit </w:t>
      </w:r>
      <w:r w:rsidR="00E2210F">
        <w:rPr>
          <w:rFonts w:ascii="Arial" w:eastAsia="Times New Roman" w:hAnsi="Arial" w:cs="Times New Roman"/>
          <w:noProof/>
          <w:szCs w:val="24"/>
          <w:lang w:val="en-GB"/>
        </w:rPr>
        <w:t xml:space="preserve">an urban use or </w:t>
      </w:r>
      <w:r>
        <w:rPr>
          <w:rFonts w:ascii="Arial" w:eastAsia="Times New Roman" w:hAnsi="Arial" w:cs="Times New Roman"/>
          <w:noProof/>
          <w:szCs w:val="24"/>
          <w:lang w:val="en-GB"/>
        </w:rPr>
        <w:t xml:space="preserve">a change in land use designation to one of the urban designations can only </w:t>
      </w:r>
      <w:r w:rsidR="00594402">
        <w:rPr>
          <w:rFonts w:ascii="Arial" w:eastAsia="Times New Roman" w:hAnsi="Arial" w:cs="Times New Roman"/>
          <w:noProof/>
          <w:szCs w:val="24"/>
          <w:lang w:val="en-GB"/>
        </w:rPr>
        <w:t>occur during a review of the NEP</w:t>
      </w:r>
      <w:r w:rsidR="00643386">
        <w:rPr>
          <w:rFonts w:ascii="Arial" w:eastAsia="Times New Roman" w:hAnsi="Arial" w:cs="Times New Roman"/>
          <w:noProof/>
          <w:szCs w:val="24"/>
          <w:lang w:val="en-GB"/>
        </w:rPr>
        <w:t xml:space="preserve">. </w:t>
      </w:r>
      <w:r w:rsidR="00E2210F">
        <w:rPr>
          <w:rFonts w:ascii="Arial" w:eastAsia="Times New Roman" w:hAnsi="Arial" w:cs="Times New Roman"/>
          <w:noProof/>
          <w:szCs w:val="24"/>
          <w:lang w:val="en-GB"/>
        </w:rPr>
        <w:t xml:space="preserve">Note that is not mandatory that urban amendments be considered; the Minister </w:t>
      </w:r>
      <w:r w:rsidR="00050580">
        <w:rPr>
          <w:rFonts w:ascii="Arial" w:eastAsia="Times New Roman" w:hAnsi="Arial" w:cs="Times New Roman"/>
          <w:noProof/>
          <w:szCs w:val="24"/>
          <w:lang w:val="en-GB"/>
        </w:rPr>
        <w:t>may or may not cho</w:t>
      </w:r>
      <w:r w:rsidR="0046593C">
        <w:rPr>
          <w:rFonts w:ascii="Arial" w:eastAsia="Times New Roman" w:hAnsi="Arial" w:cs="Times New Roman"/>
          <w:noProof/>
          <w:szCs w:val="24"/>
          <w:lang w:val="en-GB"/>
        </w:rPr>
        <w:t>o</w:t>
      </w:r>
      <w:r w:rsidR="00050580">
        <w:rPr>
          <w:rFonts w:ascii="Arial" w:eastAsia="Times New Roman" w:hAnsi="Arial" w:cs="Times New Roman"/>
          <w:noProof/>
          <w:szCs w:val="24"/>
          <w:lang w:val="en-GB"/>
        </w:rPr>
        <w:t>se to</w:t>
      </w:r>
      <w:r w:rsidR="00E2210F">
        <w:rPr>
          <w:rFonts w:ascii="Arial" w:eastAsia="Times New Roman" w:hAnsi="Arial" w:cs="Times New Roman"/>
          <w:noProof/>
          <w:szCs w:val="24"/>
          <w:lang w:val="en-GB"/>
        </w:rPr>
        <w:t xml:space="preserve"> include them in the terms of reference for the review.</w:t>
      </w:r>
      <w:r w:rsidR="00643386">
        <w:rPr>
          <w:rFonts w:ascii="Arial" w:eastAsia="Times New Roman" w:hAnsi="Arial" w:cs="Times New Roman"/>
          <w:noProof/>
          <w:szCs w:val="24"/>
          <w:lang w:val="en-GB"/>
        </w:rPr>
        <w:t xml:space="preserve"> In addition, </w:t>
      </w:r>
      <w:r w:rsidR="00643386" w:rsidRPr="00643386">
        <w:rPr>
          <w:rFonts w:ascii="Arial" w:eastAsia="Times New Roman" w:hAnsi="Arial" w:cs="Times New Roman"/>
          <w:noProof/>
          <w:szCs w:val="24"/>
          <w:lang w:val="en-GB"/>
        </w:rPr>
        <w:t>section 17(2) of the NEPDA</w:t>
      </w:r>
      <w:r w:rsidR="00643386">
        <w:rPr>
          <w:rFonts w:ascii="Arial" w:eastAsia="Times New Roman" w:hAnsi="Arial" w:cs="Times New Roman"/>
          <w:noProof/>
          <w:szCs w:val="24"/>
          <w:lang w:val="en-GB"/>
        </w:rPr>
        <w:t xml:space="preserve"> directs that the review of the NEP is to</w:t>
      </w:r>
      <w:r w:rsidR="00643386" w:rsidRPr="00643386">
        <w:rPr>
          <w:rFonts w:ascii="Arial" w:eastAsia="Times New Roman" w:hAnsi="Arial" w:cs="Times New Roman"/>
          <w:noProof/>
          <w:szCs w:val="24"/>
          <w:lang w:val="en-GB"/>
        </w:rPr>
        <w:t xml:space="preserve"> occur at the same time as a review of the Greenbelt Plan.</w:t>
      </w:r>
    </w:p>
    <w:p w14:paraId="5B1B28E3" w14:textId="77777777" w:rsidR="00643386" w:rsidRDefault="00643386" w:rsidP="00162CBB">
      <w:pPr>
        <w:spacing w:after="0"/>
        <w:rPr>
          <w:rFonts w:ascii="Arial" w:eastAsia="Times New Roman" w:hAnsi="Arial" w:cs="Times New Roman"/>
          <w:noProof/>
          <w:szCs w:val="24"/>
          <w:lang w:val="en-GB"/>
        </w:rPr>
      </w:pPr>
    </w:p>
    <w:p w14:paraId="3F5B146B" w14:textId="7303B342" w:rsidR="00204819" w:rsidRDefault="00204819" w:rsidP="00643386">
      <w:pPr>
        <w:pStyle w:val="Heading3"/>
        <w:numPr>
          <w:ilvl w:val="0"/>
          <w:numId w:val="21"/>
        </w:numPr>
        <w:ind w:left="360"/>
      </w:pPr>
      <w:r>
        <w:t>The Niagara Escarpment Plan</w:t>
      </w:r>
      <w:r w:rsidR="00050580">
        <w:t xml:space="preserve"> (NEP)</w:t>
      </w:r>
    </w:p>
    <w:p w14:paraId="75FA61B8" w14:textId="788EF966" w:rsidR="006557EF" w:rsidRDefault="00204819" w:rsidP="006557EF">
      <w:pPr>
        <w:pStyle w:val="Heading4"/>
        <w:rPr>
          <w:b w:val="0"/>
          <w:bCs w:val="0"/>
          <w:sz w:val="24"/>
          <w:szCs w:val="20"/>
        </w:rPr>
      </w:pPr>
      <w:r w:rsidRPr="00050580">
        <w:rPr>
          <w:b w:val="0"/>
          <w:bCs w:val="0"/>
          <w:sz w:val="24"/>
          <w:szCs w:val="20"/>
        </w:rPr>
        <w:t>The NEP is silent on urban amendments. The general considerations for any</w:t>
      </w:r>
      <w:r w:rsidRPr="00050580">
        <w:rPr>
          <w:b w:val="0"/>
          <w:bCs w:val="0"/>
          <w:sz w:val="22"/>
          <w:szCs w:val="18"/>
        </w:rPr>
        <w:t xml:space="preserve"> </w:t>
      </w:r>
      <w:r w:rsidRPr="00050580">
        <w:rPr>
          <w:b w:val="0"/>
          <w:bCs w:val="0"/>
          <w:sz w:val="24"/>
          <w:szCs w:val="20"/>
        </w:rPr>
        <w:t>amendment are set out in Part 1.2 of the NEP</w:t>
      </w:r>
      <w:r w:rsidR="0046593C">
        <w:rPr>
          <w:b w:val="0"/>
          <w:bCs w:val="0"/>
          <w:sz w:val="24"/>
          <w:szCs w:val="20"/>
        </w:rPr>
        <w:t>.  While</w:t>
      </w:r>
      <w:r w:rsidR="00050580" w:rsidRPr="00050580">
        <w:rPr>
          <w:b w:val="0"/>
          <w:bCs w:val="0"/>
          <w:sz w:val="24"/>
          <w:szCs w:val="20"/>
        </w:rPr>
        <w:t xml:space="preserve"> urban amendments are not </w:t>
      </w:r>
      <w:r w:rsidR="00050580">
        <w:rPr>
          <w:b w:val="0"/>
          <w:bCs w:val="0"/>
          <w:sz w:val="24"/>
          <w:szCs w:val="20"/>
        </w:rPr>
        <w:t xml:space="preserve">specifically </w:t>
      </w:r>
      <w:r w:rsidR="00050580" w:rsidRPr="00050580">
        <w:rPr>
          <w:b w:val="0"/>
          <w:bCs w:val="0"/>
          <w:sz w:val="24"/>
          <w:szCs w:val="20"/>
        </w:rPr>
        <w:t>addressed</w:t>
      </w:r>
      <w:r w:rsidR="0046593C">
        <w:rPr>
          <w:b w:val="0"/>
          <w:bCs w:val="0"/>
          <w:sz w:val="24"/>
          <w:szCs w:val="20"/>
        </w:rPr>
        <w:t xml:space="preserve">, the NEP makes reference to Section 6.1 of the </w:t>
      </w:r>
      <w:proofErr w:type="gramStart"/>
      <w:r w:rsidR="0046593C">
        <w:rPr>
          <w:b w:val="0"/>
          <w:bCs w:val="0"/>
          <w:sz w:val="24"/>
          <w:szCs w:val="20"/>
        </w:rPr>
        <w:t xml:space="preserve">NEPDA </w:t>
      </w:r>
      <w:r w:rsidR="00050580" w:rsidRPr="00050580">
        <w:rPr>
          <w:b w:val="0"/>
          <w:bCs w:val="0"/>
          <w:sz w:val="24"/>
          <w:szCs w:val="20"/>
        </w:rPr>
        <w:t>.</w:t>
      </w:r>
      <w:proofErr w:type="gramEnd"/>
      <w:r w:rsidR="00050580" w:rsidRPr="00050580">
        <w:rPr>
          <w:b w:val="0"/>
          <w:bCs w:val="0"/>
          <w:sz w:val="24"/>
          <w:szCs w:val="20"/>
        </w:rPr>
        <w:t xml:space="preserve"> </w:t>
      </w:r>
      <w:r w:rsidR="00272C7C">
        <w:rPr>
          <w:b w:val="0"/>
          <w:bCs w:val="0"/>
          <w:sz w:val="24"/>
          <w:szCs w:val="20"/>
        </w:rPr>
        <w:t>It should be noted that this is quite different from the other provincial land use plans (Greenbelt and Oak Ridges) that make direct reference to the Growth Plan</w:t>
      </w:r>
      <w:r w:rsidR="006557EF">
        <w:rPr>
          <w:b w:val="0"/>
          <w:bCs w:val="0"/>
          <w:sz w:val="24"/>
          <w:szCs w:val="20"/>
        </w:rPr>
        <w:t xml:space="preserve"> and the need for municipalities to undertake a municipal comprehensive review to consider settlement area boundary expansions. This same approach could not be adopted in the NEP unless the NEPDA were amended to either change or omit the current provisions related to urban amendments.</w:t>
      </w:r>
      <w:r w:rsidR="00EC46AA">
        <w:rPr>
          <w:b w:val="0"/>
          <w:bCs w:val="0"/>
          <w:sz w:val="24"/>
          <w:szCs w:val="20"/>
        </w:rPr>
        <w:t xml:space="preserve"> During the last NEP review, changes to legislation were not included in the scope of the review.</w:t>
      </w:r>
    </w:p>
    <w:p w14:paraId="339AA7E2" w14:textId="77777777" w:rsidR="006557EF" w:rsidRPr="006557EF" w:rsidRDefault="006557EF" w:rsidP="006557EF">
      <w:pPr>
        <w:spacing w:after="0"/>
      </w:pPr>
    </w:p>
    <w:p w14:paraId="156E3CB7" w14:textId="4E7EEA96" w:rsidR="00643386" w:rsidRDefault="00643386" w:rsidP="00643386">
      <w:pPr>
        <w:pStyle w:val="Heading3"/>
        <w:numPr>
          <w:ilvl w:val="0"/>
          <w:numId w:val="21"/>
        </w:numPr>
        <w:ind w:left="360"/>
        <w:rPr>
          <w:noProof/>
        </w:rPr>
      </w:pPr>
      <w:r>
        <w:rPr>
          <w:noProof/>
        </w:rPr>
        <w:t>Provincial Policy Statement, 2020</w:t>
      </w:r>
    </w:p>
    <w:p w14:paraId="411BE6F0" w14:textId="5AAAA1D5" w:rsidR="00643386" w:rsidRDefault="00643386" w:rsidP="00643386">
      <w:pPr>
        <w:spacing w:after="0"/>
        <w:rPr>
          <w:rFonts w:ascii="Arial" w:eastAsia="Times New Roman" w:hAnsi="Arial" w:cs="Times New Roman"/>
          <w:noProof/>
          <w:szCs w:val="24"/>
          <w:lang w:val="en-GB"/>
        </w:rPr>
      </w:pPr>
      <w:r>
        <w:rPr>
          <w:rFonts w:ascii="Arial" w:eastAsia="Times New Roman" w:hAnsi="Arial" w:cs="Times New Roman"/>
          <w:noProof/>
          <w:szCs w:val="24"/>
          <w:lang w:val="en-GB"/>
        </w:rPr>
        <w:t>The Provincial Policy Statement (PPS) provides policy direction on matters of provincial interest related to land use planning and development, including the growth and expansion of Ontario’s municipalities. Section 1.1.3 addresses the vitality and prosperity of both urban and rural settlements in Onatrio. The following is a summary of the policies in that section, as they relate to settlement area boundary expansions:</w:t>
      </w:r>
    </w:p>
    <w:p w14:paraId="66775057" w14:textId="77777777" w:rsidR="00643386" w:rsidRDefault="00643386" w:rsidP="00643386">
      <w:pPr>
        <w:pStyle w:val="ListParagraph"/>
        <w:numPr>
          <w:ilvl w:val="0"/>
          <w:numId w:val="13"/>
        </w:numPr>
        <w:spacing w:after="0"/>
        <w:rPr>
          <w:rFonts w:ascii="Arial" w:eastAsia="Times New Roman" w:hAnsi="Arial" w:cs="Times New Roman"/>
          <w:noProof/>
          <w:szCs w:val="24"/>
          <w:lang w:val="en-GB"/>
        </w:rPr>
      </w:pPr>
      <w:r>
        <w:rPr>
          <w:rFonts w:ascii="Arial" w:eastAsia="Times New Roman" w:hAnsi="Arial" w:cs="Times New Roman"/>
          <w:noProof/>
          <w:szCs w:val="24"/>
          <w:lang w:val="en-GB"/>
        </w:rPr>
        <w:t>Settlement areas are to be the focus of growth and development;</w:t>
      </w:r>
    </w:p>
    <w:p w14:paraId="0A51FA91" w14:textId="77777777" w:rsidR="00643386" w:rsidRDefault="00643386" w:rsidP="00643386">
      <w:pPr>
        <w:pStyle w:val="ListParagraph"/>
        <w:numPr>
          <w:ilvl w:val="0"/>
          <w:numId w:val="13"/>
        </w:numPr>
        <w:spacing w:after="0"/>
        <w:rPr>
          <w:rFonts w:ascii="Arial" w:eastAsia="Times New Roman" w:hAnsi="Arial" w:cs="Times New Roman"/>
          <w:noProof/>
          <w:szCs w:val="24"/>
          <w:lang w:val="en-GB"/>
        </w:rPr>
      </w:pPr>
      <w:r>
        <w:rPr>
          <w:rFonts w:ascii="Arial" w:eastAsia="Times New Roman" w:hAnsi="Arial" w:cs="Times New Roman"/>
          <w:noProof/>
          <w:szCs w:val="24"/>
          <w:lang w:val="en-GB"/>
        </w:rPr>
        <w:t>Land use patterns and densities should make efficient use of land and resources and avoid the need for unjustified and/or uneconomical expansion;</w:t>
      </w:r>
    </w:p>
    <w:p w14:paraId="060641CE" w14:textId="77777777" w:rsidR="00643386" w:rsidRDefault="00643386" w:rsidP="00643386">
      <w:pPr>
        <w:pStyle w:val="ListParagraph"/>
        <w:numPr>
          <w:ilvl w:val="0"/>
          <w:numId w:val="13"/>
        </w:numPr>
        <w:spacing w:after="0"/>
        <w:rPr>
          <w:rFonts w:ascii="Arial" w:eastAsia="Times New Roman" w:hAnsi="Arial" w:cs="Times New Roman"/>
          <w:noProof/>
          <w:szCs w:val="24"/>
          <w:lang w:val="en-GB"/>
        </w:rPr>
      </w:pPr>
      <w:r>
        <w:rPr>
          <w:rFonts w:ascii="Arial" w:eastAsia="Times New Roman" w:hAnsi="Arial" w:cs="Times New Roman"/>
          <w:noProof/>
          <w:szCs w:val="24"/>
          <w:lang w:val="en-GB"/>
        </w:rPr>
        <w:t>Land use patterns should minimize negative impacts to air quality, climate change and promote energy efficiency;</w:t>
      </w:r>
    </w:p>
    <w:p w14:paraId="391726FF" w14:textId="77777777" w:rsidR="00643386" w:rsidRDefault="00643386" w:rsidP="00643386">
      <w:pPr>
        <w:pStyle w:val="ListParagraph"/>
        <w:numPr>
          <w:ilvl w:val="0"/>
          <w:numId w:val="13"/>
        </w:numPr>
        <w:spacing w:after="0"/>
        <w:rPr>
          <w:rFonts w:ascii="Arial" w:eastAsia="Times New Roman" w:hAnsi="Arial" w:cs="Times New Roman"/>
          <w:noProof/>
          <w:szCs w:val="24"/>
          <w:lang w:val="en-GB"/>
        </w:rPr>
      </w:pPr>
      <w:r>
        <w:rPr>
          <w:rFonts w:ascii="Arial" w:eastAsia="Times New Roman" w:hAnsi="Arial" w:cs="Times New Roman"/>
          <w:noProof/>
          <w:szCs w:val="24"/>
          <w:lang w:val="en-GB"/>
        </w:rPr>
        <w:t>New development in designated growth areas should occur adjacent to existing built-up areas;</w:t>
      </w:r>
    </w:p>
    <w:p w14:paraId="483FD017" w14:textId="77777777" w:rsidR="00643386" w:rsidRDefault="00643386" w:rsidP="00643386">
      <w:pPr>
        <w:pStyle w:val="ListParagraph"/>
        <w:numPr>
          <w:ilvl w:val="0"/>
          <w:numId w:val="13"/>
        </w:numPr>
        <w:spacing w:after="0"/>
        <w:rPr>
          <w:rFonts w:ascii="Arial" w:eastAsia="Times New Roman" w:hAnsi="Arial" w:cs="Times New Roman"/>
          <w:noProof/>
          <w:szCs w:val="24"/>
          <w:lang w:val="en-GB"/>
        </w:rPr>
      </w:pPr>
      <w:r>
        <w:rPr>
          <w:rFonts w:ascii="Arial" w:eastAsia="Times New Roman" w:hAnsi="Arial" w:cs="Times New Roman"/>
          <w:noProof/>
          <w:szCs w:val="24"/>
          <w:lang w:val="en-GB"/>
        </w:rPr>
        <w:lastRenderedPageBreak/>
        <w:t>Specified targets for intensification and redevelopment need to be achieved prior to or concurrent with new development in designated growth areas;</w:t>
      </w:r>
    </w:p>
    <w:p w14:paraId="531ED8D2" w14:textId="77777777" w:rsidR="00643386" w:rsidRDefault="00643386" w:rsidP="00643386">
      <w:pPr>
        <w:pStyle w:val="ListParagraph"/>
        <w:numPr>
          <w:ilvl w:val="0"/>
          <w:numId w:val="13"/>
        </w:numPr>
        <w:spacing w:after="0"/>
        <w:rPr>
          <w:rFonts w:ascii="Arial" w:eastAsia="Times New Roman" w:hAnsi="Arial" w:cs="Times New Roman"/>
          <w:noProof/>
          <w:szCs w:val="24"/>
          <w:lang w:val="en-GB"/>
        </w:rPr>
      </w:pPr>
      <w:r>
        <w:rPr>
          <w:rFonts w:ascii="Arial" w:eastAsia="Times New Roman" w:hAnsi="Arial" w:cs="Times New Roman"/>
          <w:noProof/>
          <w:szCs w:val="24"/>
          <w:lang w:val="en-GB"/>
        </w:rPr>
        <w:t>Planning authorities can allow the expansion of a settlement area only at the time of a municipal comprehensive review;</w:t>
      </w:r>
    </w:p>
    <w:p w14:paraId="6170E1A7" w14:textId="7477632B" w:rsidR="00643386" w:rsidRDefault="00643386" w:rsidP="00643386">
      <w:pPr>
        <w:pStyle w:val="ListParagraph"/>
        <w:numPr>
          <w:ilvl w:val="0"/>
          <w:numId w:val="13"/>
        </w:numPr>
        <w:spacing w:after="0"/>
        <w:rPr>
          <w:rFonts w:ascii="Arial" w:eastAsia="Times New Roman" w:hAnsi="Arial" w:cs="Times New Roman"/>
          <w:noProof/>
          <w:szCs w:val="24"/>
          <w:lang w:val="en-GB"/>
        </w:rPr>
      </w:pPr>
      <w:r>
        <w:rPr>
          <w:rFonts w:ascii="Arial" w:eastAsia="Times New Roman" w:hAnsi="Arial" w:cs="Times New Roman"/>
          <w:noProof/>
          <w:szCs w:val="24"/>
          <w:lang w:val="en-GB"/>
        </w:rPr>
        <w:t>Settlement area expansions cannot occur in speciality crop areas, and should avoid prime agricultural areas.</w:t>
      </w:r>
    </w:p>
    <w:p w14:paraId="2324617C" w14:textId="77777777" w:rsidR="00643386" w:rsidRDefault="00643386" w:rsidP="00643386">
      <w:pPr>
        <w:pStyle w:val="ListParagraph"/>
        <w:spacing w:after="0"/>
        <w:rPr>
          <w:rFonts w:ascii="Arial" w:eastAsia="Times New Roman" w:hAnsi="Arial" w:cs="Times New Roman"/>
          <w:noProof/>
          <w:szCs w:val="24"/>
          <w:lang w:val="en-GB"/>
        </w:rPr>
      </w:pPr>
    </w:p>
    <w:p w14:paraId="3430AC21" w14:textId="3CD4A614" w:rsidR="00643386" w:rsidRDefault="00643386" w:rsidP="00643386">
      <w:pPr>
        <w:pStyle w:val="Heading3"/>
        <w:numPr>
          <w:ilvl w:val="0"/>
          <w:numId w:val="21"/>
        </w:numPr>
        <w:ind w:left="360"/>
        <w:rPr>
          <w:noProof/>
          <w:szCs w:val="20"/>
        </w:rPr>
      </w:pPr>
      <w:r>
        <w:rPr>
          <w:noProof/>
          <w:szCs w:val="20"/>
        </w:rPr>
        <w:t xml:space="preserve">A Place to Grow: </w:t>
      </w:r>
      <w:r>
        <w:rPr>
          <w:noProof/>
        </w:rPr>
        <w:t>the Growth Plan for the Greater Golden Horseshoe</w:t>
      </w:r>
      <w:r w:rsidRPr="00CE2CD6">
        <w:rPr>
          <w:noProof/>
          <w:szCs w:val="20"/>
        </w:rPr>
        <w:t xml:space="preserve"> </w:t>
      </w:r>
    </w:p>
    <w:p w14:paraId="4A484475" w14:textId="2DFB4679" w:rsidR="00643386" w:rsidRPr="006904AD" w:rsidRDefault="00643386" w:rsidP="00643386">
      <w:pPr>
        <w:rPr>
          <w:rFonts w:ascii="Arial" w:eastAsia="Times New Roman" w:hAnsi="Arial" w:cs="Times New Roman"/>
          <w:szCs w:val="24"/>
          <w:lang w:val="en-GB"/>
        </w:rPr>
      </w:pPr>
      <w:r>
        <w:rPr>
          <w:noProof/>
        </w:rPr>
        <w:t>The purpose of the Growth Plan is to provide for the orderly growth of southern Ontario’s communities in a manner that makes efficient use of land, allows for economic prosperity, promotes health and well-being, and protects natural heritage and agriculture. The Growth Plan sets out policies for how settlements areas are to accommodate population and employment growth for the next 30 years. Essentially</w:t>
      </w:r>
      <w:r>
        <w:rPr>
          <w:rFonts w:ascii="Arial" w:eastAsia="Times New Roman" w:hAnsi="Arial" w:cs="Times New Roman"/>
          <w:szCs w:val="24"/>
          <w:lang w:val="en-GB"/>
        </w:rPr>
        <w:t>, t</w:t>
      </w:r>
      <w:r w:rsidRPr="006904AD">
        <w:rPr>
          <w:rFonts w:ascii="Arial" w:eastAsia="Times New Roman" w:hAnsi="Arial" w:cs="Times New Roman"/>
          <w:szCs w:val="24"/>
          <w:lang w:val="en-GB"/>
        </w:rPr>
        <w:t xml:space="preserve">he Growth Plan will only allow settlement area boundary expansions where </w:t>
      </w:r>
      <w:r>
        <w:rPr>
          <w:rFonts w:ascii="Arial" w:eastAsia="Times New Roman" w:hAnsi="Arial" w:cs="Times New Roman"/>
          <w:szCs w:val="24"/>
          <w:lang w:val="en-GB"/>
        </w:rPr>
        <w:t xml:space="preserve">existing land supplies and intensification of built-up areas </w:t>
      </w:r>
      <w:r w:rsidRPr="006904AD">
        <w:rPr>
          <w:rFonts w:ascii="Arial" w:eastAsia="Times New Roman" w:hAnsi="Arial" w:cs="Times New Roman"/>
          <w:szCs w:val="24"/>
          <w:lang w:val="en-GB"/>
        </w:rPr>
        <w:t xml:space="preserve">are not </w:t>
      </w:r>
      <w:r>
        <w:rPr>
          <w:rFonts w:ascii="Arial" w:eastAsia="Times New Roman" w:hAnsi="Arial" w:cs="Times New Roman"/>
          <w:szCs w:val="24"/>
          <w:lang w:val="en-GB"/>
        </w:rPr>
        <w:t>sufficient to accommodate this growth</w:t>
      </w:r>
      <w:r w:rsidRPr="006904AD">
        <w:rPr>
          <w:rFonts w:ascii="Arial" w:eastAsia="Times New Roman" w:hAnsi="Arial" w:cs="Times New Roman"/>
          <w:szCs w:val="24"/>
          <w:lang w:val="en-GB"/>
        </w:rPr>
        <w:t xml:space="preserve">. </w:t>
      </w:r>
      <w:r w:rsidR="0015085A">
        <w:rPr>
          <w:rFonts w:ascii="Arial" w:eastAsia="Times New Roman" w:hAnsi="Arial" w:cs="Times New Roman"/>
          <w:szCs w:val="24"/>
          <w:lang w:val="en-GB"/>
        </w:rPr>
        <w:t>To demonstrate the need for more land, municipalities must demonstrate that they have met specific intensification targets</w:t>
      </w:r>
      <w:r w:rsidR="009043EF">
        <w:rPr>
          <w:rFonts w:ascii="Arial" w:eastAsia="Times New Roman" w:hAnsi="Arial" w:cs="Times New Roman"/>
          <w:szCs w:val="24"/>
          <w:lang w:val="en-GB"/>
        </w:rPr>
        <w:t xml:space="preserve">. </w:t>
      </w:r>
      <w:r w:rsidRPr="006904AD">
        <w:rPr>
          <w:rFonts w:ascii="Arial" w:eastAsia="Times New Roman" w:hAnsi="Arial" w:cs="Times New Roman"/>
          <w:szCs w:val="24"/>
          <w:lang w:val="en-GB"/>
        </w:rPr>
        <w:t xml:space="preserve">Where </w:t>
      </w:r>
      <w:r w:rsidR="009043EF">
        <w:rPr>
          <w:rFonts w:ascii="Arial" w:eastAsia="Times New Roman" w:hAnsi="Arial" w:cs="Times New Roman"/>
          <w:szCs w:val="24"/>
          <w:lang w:val="en-GB"/>
        </w:rPr>
        <w:t xml:space="preserve">it can be </w:t>
      </w:r>
      <w:r w:rsidRPr="006904AD">
        <w:rPr>
          <w:rFonts w:ascii="Arial" w:eastAsia="Times New Roman" w:hAnsi="Arial" w:cs="Times New Roman"/>
          <w:szCs w:val="24"/>
          <w:lang w:val="en-GB"/>
        </w:rPr>
        <w:t>justified, a settlement area boundary expansion must</w:t>
      </w:r>
      <w:r w:rsidRPr="00CE2CD6">
        <w:t xml:space="preserve"> </w:t>
      </w:r>
      <w:r w:rsidRPr="006904AD">
        <w:rPr>
          <w:rFonts w:ascii="Arial" w:eastAsia="Times New Roman" w:hAnsi="Arial" w:cs="Times New Roman"/>
          <w:szCs w:val="24"/>
          <w:lang w:val="en-GB"/>
        </w:rPr>
        <w:t>also meet any applicable requirements of the Greenbelt, Oak Ridges Moraine Conservation, Niagara Escarpment, and Lake Simcoe Protection Plans.</w:t>
      </w:r>
    </w:p>
    <w:p w14:paraId="51770782" w14:textId="190FCA0E" w:rsidR="00643386" w:rsidRDefault="00643386" w:rsidP="00643386">
      <w:pPr>
        <w:spacing w:after="0"/>
        <w:rPr>
          <w:rFonts w:ascii="Arial" w:eastAsia="Times New Roman" w:hAnsi="Arial" w:cs="Times New Roman"/>
          <w:szCs w:val="24"/>
          <w:lang w:val="en-GB"/>
        </w:rPr>
      </w:pPr>
      <w:r>
        <w:rPr>
          <w:rFonts w:ascii="Arial" w:eastAsia="Times New Roman" w:hAnsi="Arial" w:cs="Times New Roman"/>
          <w:szCs w:val="24"/>
          <w:lang w:val="en-GB"/>
        </w:rPr>
        <w:t>The process through which a municipality can justify and request a settlement area boundary expansion is known as a municipal comprehensive review. A municipal comprehensive review is defined in the Growth Plan as: “a</w:t>
      </w:r>
      <w:r w:rsidRPr="00CE2CD6">
        <w:rPr>
          <w:rFonts w:ascii="Arial" w:eastAsia="Times New Roman" w:hAnsi="Arial" w:cs="Times New Roman"/>
          <w:szCs w:val="24"/>
          <w:lang w:val="en-GB"/>
        </w:rPr>
        <w:t xml:space="preserve"> new official plan, or an official plan amendment, initiated by an upper- or single-tier municipality under section 26 of the Planning Act that comprehensively applies the policies and schedules of this Plan.</w:t>
      </w:r>
      <w:r>
        <w:rPr>
          <w:rFonts w:ascii="Arial" w:eastAsia="Times New Roman" w:hAnsi="Arial" w:cs="Times New Roman"/>
          <w:szCs w:val="24"/>
          <w:lang w:val="en-GB"/>
        </w:rPr>
        <w:t xml:space="preserve">” The municipality must apply </w:t>
      </w:r>
      <w:r w:rsidR="009043EF">
        <w:rPr>
          <w:rFonts w:ascii="Arial" w:eastAsia="Times New Roman" w:hAnsi="Arial" w:cs="Times New Roman"/>
          <w:szCs w:val="24"/>
          <w:lang w:val="en-GB"/>
        </w:rPr>
        <w:t>a specific</w:t>
      </w:r>
      <w:r>
        <w:rPr>
          <w:rFonts w:ascii="Arial" w:eastAsia="Times New Roman" w:hAnsi="Arial" w:cs="Times New Roman"/>
          <w:szCs w:val="24"/>
          <w:lang w:val="en-GB"/>
        </w:rPr>
        <w:t xml:space="preserve"> land needs assessment methodology in order to</w:t>
      </w:r>
      <w:r w:rsidR="009043EF">
        <w:rPr>
          <w:rFonts w:ascii="Arial" w:eastAsia="Times New Roman" w:hAnsi="Arial" w:cs="Times New Roman"/>
          <w:szCs w:val="24"/>
          <w:lang w:val="en-GB"/>
        </w:rPr>
        <w:t xml:space="preserve"> calculate the needed area, including whether they are meeting their intensification targets. </w:t>
      </w:r>
      <w:r>
        <w:rPr>
          <w:rFonts w:ascii="Arial" w:eastAsia="Times New Roman" w:hAnsi="Arial" w:cs="Times New Roman"/>
          <w:szCs w:val="24"/>
          <w:lang w:val="en-GB"/>
        </w:rPr>
        <w:t xml:space="preserve">Municipal comprehensive reviews (also known as official plan reviews) are required to occur every five years under the Planning Act. The Growth Plan requires that growth forecasts be reviewed at least every five years so that </w:t>
      </w:r>
      <w:r w:rsidR="009043EF">
        <w:rPr>
          <w:rFonts w:ascii="Arial" w:eastAsia="Times New Roman" w:hAnsi="Arial" w:cs="Times New Roman"/>
          <w:szCs w:val="24"/>
          <w:lang w:val="en-GB"/>
        </w:rPr>
        <w:t>adjusted growth forecasts can be considered during official plan reviews.</w:t>
      </w:r>
    </w:p>
    <w:p w14:paraId="7AEB1071" w14:textId="0DC7427F" w:rsidR="00643386" w:rsidRDefault="00643386" w:rsidP="00643386">
      <w:pPr>
        <w:spacing w:after="0"/>
        <w:rPr>
          <w:rFonts w:ascii="Arial" w:eastAsia="Times New Roman" w:hAnsi="Arial" w:cs="Times New Roman"/>
          <w:noProof/>
          <w:szCs w:val="24"/>
          <w:lang w:val="en-GB"/>
        </w:rPr>
      </w:pPr>
    </w:p>
    <w:p w14:paraId="304EB996" w14:textId="59CDD446" w:rsidR="009043EF" w:rsidRPr="006557EF" w:rsidRDefault="006557EF" w:rsidP="006557EF">
      <w:pPr>
        <w:pStyle w:val="Heading3"/>
        <w:numPr>
          <w:ilvl w:val="0"/>
          <w:numId w:val="21"/>
        </w:numPr>
        <w:ind w:left="360"/>
        <w:rPr>
          <w:noProof/>
        </w:rPr>
      </w:pPr>
      <w:r>
        <w:rPr>
          <w:noProof/>
        </w:rPr>
        <w:t>Policy Differences (</w:t>
      </w:r>
      <w:r w:rsidR="00C85176">
        <w:rPr>
          <w:noProof/>
        </w:rPr>
        <w:t>Settlement Area Boundary Expansions</w:t>
      </w:r>
      <w:r>
        <w:rPr>
          <w:noProof/>
        </w:rPr>
        <w:t>)</w:t>
      </w:r>
    </w:p>
    <w:p w14:paraId="323CF21C" w14:textId="7F271E4F" w:rsidR="006557EF" w:rsidRDefault="006557EF" w:rsidP="006557EF">
      <w:r>
        <w:t xml:space="preserve">To recap, settlement area boundary expansions in the NEP Area can only be considered during a review of the NEP, and this was most recently done during the 2015 review. Given that </w:t>
      </w:r>
      <w:r w:rsidR="006B0154">
        <w:t>a NEP</w:t>
      </w:r>
      <w:r>
        <w:t xml:space="preserve"> review must occur every ten years and that the most recent one was completed in 2017, the next NEP review does not have to occur until 2027</w:t>
      </w:r>
      <w:r w:rsidR="006B0154">
        <w:t>, and urban amendments may not be considered until then.</w:t>
      </w:r>
    </w:p>
    <w:p w14:paraId="40D159B7" w14:textId="2002BAF6" w:rsidR="006557EF" w:rsidRDefault="000563B8" w:rsidP="006557EF">
      <w:r>
        <w:lastRenderedPageBreak/>
        <w:t>However, in order to justify settlement area boundary expansions, municipalities must do so by carrying out a land need</w:t>
      </w:r>
      <w:r w:rsidR="0046593C">
        <w:t>s</w:t>
      </w:r>
      <w:r>
        <w:t xml:space="preserve"> assessment during a municipal comprehensive review. </w:t>
      </w:r>
      <w:r w:rsidR="00F76673">
        <w:t xml:space="preserve">Although there were some official plan reviews running concurrently with the NEP review, the Growth Plan policies necessary to calculate land needs were also under review, </w:t>
      </w:r>
      <w:r w:rsidR="005600A3">
        <w:t>which made it impossible for municipalities to justify requests for additional land</w:t>
      </w:r>
      <w:r w:rsidR="006B0154">
        <w:t xml:space="preserve"> for urban growth</w:t>
      </w:r>
      <w:r w:rsidR="005600A3">
        <w:t xml:space="preserve"> during the NEP review.</w:t>
      </w:r>
      <w:r w:rsidR="00F76673">
        <w:t xml:space="preserve"> </w:t>
      </w:r>
      <w:r w:rsidR="005600A3">
        <w:t xml:space="preserve">There was a fundamental misalignment between when municipalities (or other parties) could ask for additional land for </w:t>
      </w:r>
      <w:r w:rsidR="006B0154">
        <w:t xml:space="preserve">urban </w:t>
      </w:r>
      <w:r w:rsidR="005600A3">
        <w:t>development in the NEP Area, and when they could undertake the necessary exercise to justify the need.</w:t>
      </w:r>
    </w:p>
    <w:p w14:paraId="64B9F78A" w14:textId="77777777" w:rsidR="004C3CBA" w:rsidRDefault="005600A3">
      <w:r>
        <w:t xml:space="preserve">As a result of this misalignment, municipalities were unable to respond meaningfully to private landowners’ requests for urban uses and urban re-designations during the last NEP review. </w:t>
      </w:r>
      <w:r w:rsidR="00F76673">
        <w:t xml:space="preserve">Since then, </w:t>
      </w:r>
      <w:r>
        <w:t xml:space="preserve">many NEP Area municipalities </w:t>
      </w:r>
      <w:r w:rsidR="00F76673">
        <w:t>have</w:t>
      </w:r>
      <w:r>
        <w:t xml:space="preserve"> now</w:t>
      </w:r>
      <w:r w:rsidR="00F76673">
        <w:t xml:space="preserve"> started</w:t>
      </w:r>
      <w:r>
        <w:t xml:space="preserve"> municipal comprehensive review</w:t>
      </w:r>
      <w:r w:rsidR="00F76673">
        <w:t>s</w:t>
      </w:r>
      <w:r>
        <w:t xml:space="preserve"> to incorporate the changes</w:t>
      </w:r>
      <w:r w:rsidR="00F76673">
        <w:t xml:space="preserve"> in Growth Plan growth forecasts</w:t>
      </w:r>
      <w:r w:rsidR="009B0374">
        <w:t>. However, if they do identify NEP Area lands that they believe necessary to accommodate their forecasted urban growth, the lands cannot be re-designated until the next NEP review occurs, in 2027.</w:t>
      </w:r>
      <w:r w:rsidR="00A6256E">
        <w:t xml:space="preserve"> If such requests are made in 2027, it will be the Minister or Cabinet that decides whether settlement area boundary expansions are necessary in the NEP Area. </w:t>
      </w:r>
    </w:p>
    <w:p w14:paraId="74643B21" w14:textId="6E879584" w:rsidR="00F76673" w:rsidRPr="00C85176" w:rsidRDefault="00C85176" w:rsidP="005A01CF">
      <w:pPr>
        <w:rPr>
          <w:b/>
          <w:bCs/>
        </w:rPr>
      </w:pPr>
      <w:r w:rsidRPr="00C85176">
        <w:rPr>
          <w:b/>
          <w:bCs/>
        </w:rPr>
        <w:t>Policy Differences (Site-specific Urban Uses)</w:t>
      </w:r>
    </w:p>
    <w:p w14:paraId="7E06A845" w14:textId="36F075A9" w:rsidR="00C85176" w:rsidRDefault="00C85176" w:rsidP="00C85176">
      <w:pPr>
        <w:spacing w:after="0"/>
        <w:rPr>
          <w:rFonts w:ascii="Arial" w:eastAsia="Times New Roman" w:hAnsi="Arial" w:cs="Times New Roman"/>
          <w:szCs w:val="24"/>
          <w:lang w:val="en-GB"/>
        </w:rPr>
      </w:pPr>
      <w:r>
        <w:rPr>
          <w:rFonts w:ascii="Arial" w:eastAsia="Times New Roman" w:hAnsi="Arial" w:cs="Times New Roman"/>
          <w:szCs w:val="24"/>
          <w:lang w:val="en-GB"/>
        </w:rPr>
        <w:t xml:space="preserve">With regard to site specific amendments to allow for “urban uses,” </w:t>
      </w:r>
      <w:r w:rsidR="00EC46AA">
        <w:rPr>
          <w:rFonts w:ascii="Arial" w:eastAsia="Times New Roman" w:hAnsi="Arial" w:cs="Times New Roman"/>
          <w:szCs w:val="24"/>
          <w:lang w:val="en-GB"/>
        </w:rPr>
        <w:t xml:space="preserve">the NEPDA is unique in specifically </w:t>
      </w:r>
      <w:r w:rsidR="006B0154">
        <w:rPr>
          <w:rFonts w:ascii="Arial" w:eastAsia="Times New Roman" w:hAnsi="Arial" w:cs="Times New Roman"/>
          <w:szCs w:val="24"/>
          <w:lang w:val="en-GB"/>
        </w:rPr>
        <w:t>contemplating</w:t>
      </w:r>
      <w:r w:rsidR="00EC46AA">
        <w:rPr>
          <w:rFonts w:ascii="Arial" w:eastAsia="Times New Roman" w:hAnsi="Arial" w:cs="Times New Roman"/>
          <w:szCs w:val="24"/>
          <w:lang w:val="en-GB"/>
        </w:rPr>
        <w:t xml:space="preserve"> these sorts of amendments</w:t>
      </w:r>
      <w:r>
        <w:rPr>
          <w:rFonts w:ascii="Arial" w:eastAsia="Times New Roman" w:hAnsi="Arial" w:cs="Times New Roman"/>
          <w:szCs w:val="24"/>
          <w:lang w:val="en-GB"/>
        </w:rPr>
        <w:t>. The Greenbelt, Oak Ridges and Growth Plan</w:t>
      </w:r>
      <w:r w:rsidR="00EC46AA">
        <w:rPr>
          <w:rFonts w:ascii="Arial" w:eastAsia="Times New Roman" w:hAnsi="Arial" w:cs="Times New Roman"/>
          <w:szCs w:val="24"/>
          <w:lang w:val="en-GB"/>
        </w:rPr>
        <w:t>s</w:t>
      </w:r>
      <w:r>
        <w:rPr>
          <w:rFonts w:ascii="Arial" w:eastAsia="Times New Roman" w:hAnsi="Arial" w:cs="Times New Roman"/>
          <w:szCs w:val="24"/>
          <w:lang w:val="en-GB"/>
        </w:rPr>
        <w:t xml:space="preserve"> do not address such one-off requests. Since municipalities are the implementing authorities for </w:t>
      </w:r>
      <w:r w:rsidR="00EC46AA">
        <w:rPr>
          <w:rFonts w:ascii="Arial" w:eastAsia="Times New Roman" w:hAnsi="Arial" w:cs="Times New Roman"/>
          <w:szCs w:val="24"/>
          <w:lang w:val="en-GB"/>
        </w:rPr>
        <w:t xml:space="preserve">the Greenbelt and Oak </w:t>
      </w:r>
      <w:proofErr w:type="spellStart"/>
      <w:r w:rsidR="00EC46AA">
        <w:rPr>
          <w:rFonts w:ascii="Arial" w:eastAsia="Times New Roman" w:hAnsi="Arial" w:cs="Times New Roman"/>
          <w:szCs w:val="24"/>
          <w:lang w:val="en-GB"/>
        </w:rPr>
        <w:t>Ridges</w:t>
      </w:r>
      <w:proofErr w:type="spellEnd"/>
      <w:r>
        <w:rPr>
          <w:rFonts w:ascii="Arial" w:eastAsia="Times New Roman" w:hAnsi="Arial" w:cs="Times New Roman"/>
          <w:szCs w:val="24"/>
          <w:lang w:val="en-GB"/>
        </w:rPr>
        <w:t xml:space="preserve"> </w:t>
      </w:r>
      <w:r w:rsidR="00EC46AA">
        <w:rPr>
          <w:rFonts w:ascii="Arial" w:eastAsia="Times New Roman" w:hAnsi="Arial" w:cs="Times New Roman"/>
          <w:szCs w:val="24"/>
          <w:lang w:val="en-GB"/>
        </w:rPr>
        <w:t>P</w:t>
      </w:r>
      <w:r>
        <w:rPr>
          <w:rFonts w:ascii="Arial" w:eastAsia="Times New Roman" w:hAnsi="Arial" w:cs="Times New Roman"/>
          <w:szCs w:val="24"/>
          <w:lang w:val="en-GB"/>
        </w:rPr>
        <w:t>lans, it is conceivable that an official plan amendment could be requested to allow for an urban use in a rural area, but it is unlikely that such an amendment would be supported by</w:t>
      </w:r>
      <w:r w:rsidR="00EC46AA">
        <w:rPr>
          <w:rFonts w:ascii="Arial" w:eastAsia="Times New Roman" w:hAnsi="Arial" w:cs="Times New Roman"/>
          <w:szCs w:val="24"/>
          <w:lang w:val="en-GB"/>
        </w:rPr>
        <w:t xml:space="preserve"> the</w:t>
      </w:r>
      <w:r>
        <w:rPr>
          <w:rFonts w:ascii="Arial" w:eastAsia="Times New Roman" w:hAnsi="Arial" w:cs="Times New Roman"/>
          <w:szCs w:val="24"/>
          <w:lang w:val="en-GB"/>
        </w:rPr>
        <w:t xml:space="preserve"> provincial approval authorit</w:t>
      </w:r>
      <w:r w:rsidR="00EC46AA">
        <w:rPr>
          <w:rFonts w:ascii="Arial" w:eastAsia="Times New Roman" w:hAnsi="Arial" w:cs="Times New Roman"/>
          <w:szCs w:val="24"/>
          <w:lang w:val="en-GB"/>
        </w:rPr>
        <w:t>y</w:t>
      </w:r>
      <w:r>
        <w:rPr>
          <w:rFonts w:ascii="Arial" w:eastAsia="Times New Roman" w:hAnsi="Arial" w:cs="Times New Roman"/>
          <w:szCs w:val="24"/>
          <w:lang w:val="en-GB"/>
        </w:rPr>
        <w:t xml:space="preserve"> (Minister of Municipal Affairs and Housing), or the upper-tier municipality if </w:t>
      </w:r>
      <w:r w:rsidR="00EC46AA">
        <w:rPr>
          <w:rFonts w:ascii="Arial" w:eastAsia="Times New Roman" w:hAnsi="Arial" w:cs="Times New Roman"/>
          <w:szCs w:val="24"/>
          <w:lang w:val="en-GB"/>
        </w:rPr>
        <w:t>the proposed amendment</w:t>
      </w:r>
      <w:r>
        <w:rPr>
          <w:rFonts w:ascii="Arial" w:eastAsia="Times New Roman" w:hAnsi="Arial" w:cs="Times New Roman"/>
          <w:szCs w:val="24"/>
          <w:lang w:val="en-GB"/>
        </w:rPr>
        <w:t xml:space="preserve"> contradicted provincial policy</w:t>
      </w:r>
      <w:r w:rsidR="006B0154">
        <w:rPr>
          <w:rFonts w:ascii="Arial" w:eastAsia="Times New Roman" w:hAnsi="Arial" w:cs="Times New Roman"/>
          <w:szCs w:val="24"/>
          <w:lang w:val="en-GB"/>
        </w:rPr>
        <w:t xml:space="preserve"> as per the Greenbelt or Oak </w:t>
      </w:r>
      <w:proofErr w:type="spellStart"/>
      <w:r w:rsidR="006B0154">
        <w:rPr>
          <w:rFonts w:ascii="Arial" w:eastAsia="Times New Roman" w:hAnsi="Arial" w:cs="Times New Roman"/>
          <w:szCs w:val="24"/>
          <w:lang w:val="en-GB"/>
        </w:rPr>
        <w:t>Ridges</w:t>
      </w:r>
      <w:proofErr w:type="spellEnd"/>
      <w:r w:rsidR="006B0154">
        <w:rPr>
          <w:rFonts w:ascii="Arial" w:eastAsia="Times New Roman" w:hAnsi="Arial" w:cs="Times New Roman"/>
          <w:szCs w:val="24"/>
          <w:lang w:val="en-GB"/>
        </w:rPr>
        <w:t xml:space="preserve"> Plans</w:t>
      </w:r>
      <w:r>
        <w:rPr>
          <w:rFonts w:ascii="Arial" w:eastAsia="Times New Roman" w:hAnsi="Arial" w:cs="Times New Roman"/>
          <w:szCs w:val="24"/>
          <w:lang w:val="en-GB"/>
        </w:rPr>
        <w:t>.</w:t>
      </w:r>
    </w:p>
    <w:p w14:paraId="75768A5E" w14:textId="77777777" w:rsidR="00EC46AA" w:rsidRDefault="00EC46AA" w:rsidP="00C85176">
      <w:pPr>
        <w:spacing w:after="0"/>
        <w:rPr>
          <w:rFonts w:ascii="Arial" w:eastAsia="Times New Roman" w:hAnsi="Arial" w:cs="Times New Roman"/>
          <w:szCs w:val="24"/>
          <w:lang w:val="en-GB"/>
        </w:rPr>
      </w:pPr>
    </w:p>
    <w:p w14:paraId="2F5BCE06" w14:textId="41DEA52B" w:rsidR="00C85176" w:rsidRDefault="00C85176" w:rsidP="00C85176">
      <w:pPr>
        <w:spacing w:after="0"/>
        <w:rPr>
          <w:rFonts w:ascii="Arial" w:eastAsia="Times New Roman" w:hAnsi="Arial" w:cs="Times New Roman"/>
          <w:szCs w:val="24"/>
          <w:lang w:val="en-GB"/>
        </w:rPr>
      </w:pPr>
      <w:r>
        <w:rPr>
          <w:rFonts w:ascii="Arial" w:eastAsia="Times New Roman" w:hAnsi="Arial" w:cs="Times New Roman"/>
          <w:szCs w:val="24"/>
          <w:lang w:val="en-GB"/>
        </w:rPr>
        <w:t xml:space="preserve">If the Commission were to consider allowing site-specific urban use amendments to proceed </w:t>
      </w:r>
      <w:r w:rsidR="00EC46AA">
        <w:rPr>
          <w:rFonts w:ascii="Arial" w:eastAsia="Times New Roman" w:hAnsi="Arial" w:cs="Times New Roman"/>
          <w:szCs w:val="24"/>
          <w:lang w:val="en-GB"/>
        </w:rPr>
        <w:t>outside of an NEP review</w:t>
      </w:r>
      <w:r>
        <w:rPr>
          <w:rFonts w:ascii="Arial" w:eastAsia="Times New Roman" w:hAnsi="Arial" w:cs="Times New Roman"/>
          <w:szCs w:val="24"/>
          <w:lang w:val="en-GB"/>
        </w:rPr>
        <w:t xml:space="preserve">, </w:t>
      </w:r>
      <w:r w:rsidR="00CD179D">
        <w:rPr>
          <w:rFonts w:ascii="Arial" w:eastAsia="Times New Roman" w:hAnsi="Arial" w:cs="Times New Roman"/>
          <w:szCs w:val="24"/>
          <w:lang w:val="en-GB"/>
        </w:rPr>
        <w:t>one has to consider if this is in keeping with provincial policy intent.</w:t>
      </w:r>
      <w:r>
        <w:rPr>
          <w:rFonts w:ascii="Arial" w:eastAsia="Times New Roman" w:hAnsi="Arial" w:cs="Times New Roman"/>
          <w:szCs w:val="24"/>
          <w:lang w:val="en-GB"/>
        </w:rPr>
        <w:t xml:space="preserve">  Allowing for the consideration of urban uses outside of existing settlement areas is, in effect, allowing for “leap-frog” development</w:t>
      </w:r>
      <w:r w:rsidR="00CD179D">
        <w:rPr>
          <w:rFonts w:ascii="Arial" w:eastAsia="Times New Roman" w:hAnsi="Arial" w:cs="Times New Roman"/>
          <w:szCs w:val="24"/>
          <w:lang w:val="en-GB"/>
        </w:rPr>
        <w:t xml:space="preserve"> and is a form of sprawl. As per the direction set out in the PPS, </w:t>
      </w:r>
      <w:r w:rsidR="00CD179D">
        <w:rPr>
          <w:rFonts w:ascii="Arial" w:eastAsia="Times New Roman" w:hAnsi="Arial" w:cs="Times New Roman"/>
          <w:noProof/>
          <w:szCs w:val="24"/>
          <w:lang w:val="en-GB"/>
        </w:rPr>
        <w:t xml:space="preserve">new development should occur adjacent to existing built-up areas, and planning authorities are to </w:t>
      </w:r>
      <w:r w:rsidR="00EC46AA" w:rsidRPr="00EC46AA">
        <w:rPr>
          <w:rFonts w:ascii="Arial" w:eastAsia="Times New Roman" w:hAnsi="Arial" w:cs="Times New Roman"/>
          <w:noProof/>
          <w:szCs w:val="24"/>
          <w:lang w:val="en-GB"/>
        </w:rPr>
        <w:t xml:space="preserve">make efficient use of land and resources and avoid the need for unjustified </w:t>
      </w:r>
      <w:r w:rsidR="00EC46AA">
        <w:rPr>
          <w:rFonts w:ascii="Arial" w:eastAsia="Times New Roman" w:hAnsi="Arial" w:cs="Times New Roman"/>
          <w:noProof/>
          <w:szCs w:val="24"/>
          <w:lang w:val="en-GB"/>
        </w:rPr>
        <w:t>or</w:t>
      </w:r>
      <w:r w:rsidR="00EC46AA" w:rsidRPr="00EC46AA">
        <w:rPr>
          <w:rFonts w:ascii="Arial" w:eastAsia="Times New Roman" w:hAnsi="Arial" w:cs="Times New Roman"/>
          <w:noProof/>
          <w:szCs w:val="24"/>
          <w:lang w:val="en-GB"/>
        </w:rPr>
        <w:t xml:space="preserve"> uneconomical expansion</w:t>
      </w:r>
      <w:r w:rsidR="00EC46AA">
        <w:rPr>
          <w:rFonts w:ascii="Arial" w:eastAsia="Times New Roman" w:hAnsi="Arial" w:cs="Times New Roman"/>
          <w:noProof/>
          <w:szCs w:val="24"/>
          <w:lang w:val="en-GB"/>
        </w:rPr>
        <w:t>.</w:t>
      </w:r>
      <w:r w:rsidR="00CD179D">
        <w:rPr>
          <w:rFonts w:ascii="Arial" w:eastAsia="Times New Roman" w:hAnsi="Arial" w:cs="Times New Roman"/>
          <w:szCs w:val="24"/>
          <w:lang w:val="en-GB"/>
        </w:rPr>
        <w:t xml:space="preserve"> </w:t>
      </w:r>
      <w:r w:rsidR="00EC46AA">
        <w:rPr>
          <w:rFonts w:ascii="Arial" w:eastAsia="Times New Roman" w:hAnsi="Arial" w:cs="Times New Roman"/>
          <w:szCs w:val="24"/>
          <w:lang w:val="en-GB"/>
        </w:rPr>
        <w:t>It should be considered whether</w:t>
      </w:r>
      <w:r>
        <w:rPr>
          <w:rFonts w:ascii="Arial" w:eastAsia="Times New Roman" w:hAnsi="Arial" w:cs="Times New Roman"/>
          <w:szCs w:val="24"/>
          <w:lang w:val="en-GB"/>
        </w:rPr>
        <w:t xml:space="preserve"> the piecemeal allocation of land for anything other than agriculture-related</w:t>
      </w:r>
      <w:r w:rsidR="00EC46AA">
        <w:rPr>
          <w:rFonts w:ascii="Arial" w:eastAsia="Times New Roman" w:hAnsi="Arial" w:cs="Times New Roman"/>
          <w:szCs w:val="24"/>
          <w:lang w:val="en-GB"/>
        </w:rPr>
        <w:t>, small-scale institutional</w:t>
      </w:r>
      <w:r>
        <w:rPr>
          <w:rFonts w:ascii="Arial" w:eastAsia="Times New Roman" w:hAnsi="Arial" w:cs="Times New Roman"/>
          <w:szCs w:val="24"/>
          <w:lang w:val="en-GB"/>
        </w:rPr>
        <w:t xml:space="preserve"> or low impact recreational land uses in the non-urban NEP designations </w:t>
      </w:r>
      <w:r w:rsidR="00EC46AA">
        <w:rPr>
          <w:rFonts w:ascii="Arial" w:eastAsia="Times New Roman" w:hAnsi="Arial" w:cs="Times New Roman"/>
          <w:szCs w:val="24"/>
          <w:lang w:val="en-GB"/>
        </w:rPr>
        <w:t xml:space="preserve">can </w:t>
      </w:r>
      <w:r>
        <w:rPr>
          <w:rFonts w:ascii="Arial" w:eastAsia="Times New Roman" w:hAnsi="Arial" w:cs="Times New Roman"/>
          <w:szCs w:val="24"/>
          <w:lang w:val="en-GB"/>
        </w:rPr>
        <w:t>meet the Purpose and Objectives of the NEP.</w:t>
      </w:r>
    </w:p>
    <w:p w14:paraId="02A5AC35" w14:textId="77777777" w:rsidR="003C1CB1" w:rsidRDefault="003C1CB1" w:rsidP="00C85176">
      <w:pPr>
        <w:spacing w:after="0"/>
        <w:rPr>
          <w:rFonts w:ascii="Arial" w:eastAsia="Times New Roman" w:hAnsi="Arial" w:cs="Times New Roman"/>
          <w:szCs w:val="24"/>
          <w:lang w:val="en-GB"/>
        </w:rPr>
      </w:pPr>
    </w:p>
    <w:p w14:paraId="3A2E7EA4" w14:textId="029652D6" w:rsidR="00CE2CD6" w:rsidRPr="003C1CB1" w:rsidRDefault="003C1CB1" w:rsidP="003C1CB1">
      <w:pPr>
        <w:pStyle w:val="Heading3"/>
        <w:numPr>
          <w:ilvl w:val="0"/>
          <w:numId w:val="21"/>
        </w:numPr>
        <w:ind w:left="360"/>
      </w:pPr>
      <w:r w:rsidRPr="003C1CB1">
        <w:t xml:space="preserve">Summary </w:t>
      </w:r>
      <w:r>
        <w:t>a</w:t>
      </w:r>
      <w:r w:rsidRPr="003C1CB1">
        <w:t>nd Conclusion</w:t>
      </w:r>
    </w:p>
    <w:p w14:paraId="0FC48294" w14:textId="6A95245E" w:rsidR="008A624E" w:rsidRDefault="008A624E">
      <w:pPr>
        <w:spacing w:after="0"/>
        <w:rPr>
          <w:rFonts w:ascii="Arial" w:eastAsia="Times New Roman" w:hAnsi="Arial" w:cs="Times New Roman"/>
          <w:szCs w:val="24"/>
          <w:lang w:val="en-GB"/>
        </w:rPr>
      </w:pPr>
      <w:r>
        <w:rPr>
          <w:rFonts w:ascii="Arial" w:eastAsia="Times New Roman" w:hAnsi="Arial" w:cs="Times New Roman"/>
          <w:szCs w:val="24"/>
          <w:lang w:val="en-GB"/>
        </w:rPr>
        <w:t xml:space="preserve">In response to the Commission’s query about the possibility of allowing NEP </w:t>
      </w:r>
      <w:r w:rsidR="00297DEC">
        <w:rPr>
          <w:rFonts w:ascii="Arial" w:eastAsia="Times New Roman" w:hAnsi="Arial" w:cs="Times New Roman"/>
          <w:szCs w:val="24"/>
          <w:lang w:val="en-GB"/>
        </w:rPr>
        <w:t xml:space="preserve">urban </w:t>
      </w:r>
      <w:r>
        <w:rPr>
          <w:rFonts w:ascii="Arial" w:eastAsia="Times New Roman" w:hAnsi="Arial" w:cs="Times New Roman"/>
          <w:szCs w:val="24"/>
          <w:lang w:val="en-GB"/>
        </w:rPr>
        <w:t xml:space="preserve">amendments </w:t>
      </w:r>
      <w:r w:rsidR="00297DEC">
        <w:rPr>
          <w:rFonts w:ascii="Arial" w:eastAsia="Times New Roman" w:hAnsi="Arial" w:cs="Times New Roman"/>
          <w:szCs w:val="24"/>
          <w:lang w:val="en-GB"/>
        </w:rPr>
        <w:t>outside of a co-ordinate provincial land use planning review</w:t>
      </w:r>
      <w:r>
        <w:rPr>
          <w:rFonts w:ascii="Arial" w:eastAsia="Times New Roman" w:hAnsi="Arial" w:cs="Times New Roman"/>
          <w:szCs w:val="24"/>
          <w:lang w:val="en-GB"/>
        </w:rPr>
        <w:t>, staff’s advi</w:t>
      </w:r>
      <w:r w:rsidR="006A2F1F">
        <w:rPr>
          <w:rFonts w:ascii="Arial" w:eastAsia="Times New Roman" w:hAnsi="Arial" w:cs="Times New Roman"/>
          <w:szCs w:val="24"/>
          <w:lang w:val="en-GB"/>
        </w:rPr>
        <w:t>c</w:t>
      </w:r>
      <w:r>
        <w:rPr>
          <w:rFonts w:ascii="Arial" w:eastAsia="Times New Roman" w:hAnsi="Arial" w:cs="Times New Roman"/>
          <w:szCs w:val="24"/>
          <w:lang w:val="en-GB"/>
        </w:rPr>
        <w:t xml:space="preserve">e is that </w:t>
      </w:r>
      <w:r w:rsidR="00297DEC">
        <w:rPr>
          <w:rFonts w:ascii="Arial" w:eastAsia="Times New Roman" w:hAnsi="Arial" w:cs="Times New Roman"/>
          <w:szCs w:val="24"/>
          <w:lang w:val="en-GB"/>
        </w:rPr>
        <w:t>there should be alignment between the NEPDA urban amendment process and the timing of municipal comprehensive reviews. To allow urban amendments to proceed at any other time (i.e., outside of a coordinated review, or outside of a municipal comprehensive review)</w:t>
      </w:r>
      <w:r>
        <w:rPr>
          <w:rFonts w:ascii="Arial" w:eastAsia="Times New Roman" w:hAnsi="Arial" w:cs="Times New Roman"/>
          <w:szCs w:val="24"/>
          <w:lang w:val="en-GB"/>
        </w:rPr>
        <w:t xml:space="preserve"> would be contrary to </w:t>
      </w:r>
      <w:r w:rsidR="00297DEC">
        <w:rPr>
          <w:rFonts w:ascii="Arial" w:eastAsia="Times New Roman" w:hAnsi="Arial" w:cs="Times New Roman"/>
          <w:szCs w:val="24"/>
          <w:lang w:val="en-GB"/>
        </w:rPr>
        <w:t xml:space="preserve"> </w:t>
      </w:r>
      <w:r>
        <w:rPr>
          <w:rFonts w:ascii="Arial" w:eastAsia="Times New Roman" w:hAnsi="Arial" w:cs="Times New Roman"/>
          <w:szCs w:val="24"/>
          <w:lang w:val="en-GB"/>
        </w:rPr>
        <w:t>provincial policy including the PPS and the Growth Plan</w:t>
      </w:r>
      <w:r w:rsidR="00297DEC">
        <w:rPr>
          <w:rFonts w:ascii="Arial" w:eastAsia="Times New Roman" w:hAnsi="Arial" w:cs="Times New Roman"/>
          <w:szCs w:val="24"/>
          <w:lang w:val="en-GB"/>
        </w:rPr>
        <w:t>, which</w:t>
      </w:r>
      <w:r>
        <w:rPr>
          <w:rFonts w:ascii="Arial" w:eastAsia="Times New Roman" w:hAnsi="Arial" w:cs="Times New Roman"/>
          <w:szCs w:val="24"/>
          <w:lang w:val="en-GB"/>
        </w:rPr>
        <w:t xml:space="preserve"> set out</w:t>
      </w:r>
      <w:r w:rsidR="0091033F">
        <w:rPr>
          <w:rFonts w:ascii="Arial" w:eastAsia="Times New Roman" w:hAnsi="Arial" w:cs="Times New Roman"/>
          <w:szCs w:val="24"/>
          <w:lang w:val="en-GB"/>
        </w:rPr>
        <w:t xml:space="preserve"> </w:t>
      </w:r>
      <w:r w:rsidR="006A2F1F">
        <w:rPr>
          <w:rFonts w:ascii="Arial" w:eastAsia="Times New Roman" w:hAnsi="Arial" w:cs="Times New Roman"/>
          <w:szCs w:val="24"/>
          <w:lang w:val="en-GB"/>
        </w:rPr>
        <w:t xml:space="preserve">policies and a methodology for justifying settlement area boundary expansions. </w:t>
      </w:r>
      <w:r w:rsidR="00297DEC">
        <w:rPr>
          <w:rFonts w:ascii="Arial" w:eastAsia="Times New Roman" w:hAnsi="Arial" w:cs="Times New Roman"/>
          <w:szCs w:val="24"/>
          <w:lang w:val="en-GB"/>
        </w:rPr>
        <w:t>Consideration of NEP urban amendments during municipal comprehensive reviews would allow municipalities to respond meaningfully to urban amendment requests by conducting the land needs assessment needed to justify urban expansions.</w:t>
      </w:r>
      <w:r w:rsidR="00297DEC" w:rsidDel="00297DEC">
        <w:rPr>
          <w:rFonts w:ascii="Arial" w:eastAsia="Times New Roman" w:hAnsi="Arial" w:cs="Times New Roman"/>
          <w:szCs w:val="24"/>
          <w:lang w:val="en-GB"/>
        </w:rPr>
        <w:t xml:space="preserve"> </w:t>
      </w:r>
    </w:p>
    <w:p w14:paraId="02144534" w14:textId="5EAF95F5" w:rsidR="008A624E" w:rsidRDefault="008A624E" w:rsidP="00E70073">
      <w:pPr>
        <w:spacing w:after="0"/>
        <w:rPr>
          <w:rFonts w:ascii="Arial" w:eastAsia="Times New Roman" w:hAnsi="Arial" w:cs="Times New Roman"/>
          <w:szCs w:val="24"/>
          <w:lang w:val="en-GB"/>
        </w:rPr>
      </w:pPr>
    </w:p>
    <w:p w14:paraId="09E1038F" w14:textId="76A123AE" w:rsidR="0091033F" w:rsidRDefault="0091033F" w:rsidP="0091033F">
      <w:pPr>
        <w:spacing w:after="0"/>
        <w:rPr>
          <w:rFonts w:ascii="Arial" w:eastAsia="Times New Roman" w:hAnsi="Arial" w:cs="Times New Roman"/>
          <w:szCs w:val="24"/>
          <w:lang w:val="en-GB"/>
        </w:rPr>
      </w:pPr>
      <w:r>
        <w:rPr>
          <w:rFonts w:ascii="Arial" w:eastAsia="Times New Roman" w:hAnsi="Arial" w:cs="Times New Roman"/>
          <w:szCs w:val="24"/>
          <w:lang w:val="en-GB"/>
        </w:rPr>
        <w:t xml:space="preserve">Given that the NEC’s most recent policy defining urban uses </w:t>
      </w:r>
      <w:r w:rsidR="00297DEC">
        <w:rPr>
          <w:rFonts w:ascii="Arial" w:eastAsia="Times New Roman" w:hAnsi="Arial" w:cs="Times New Roman"/>
          <w:szCs w:val="24"/>
          <w:lang w:val="en-GB"/>
        </w:rPr>
        <w:t>has not been reviewed since 2008</w:t>
      </w:r>
      <w:r w:rsidR="003C1CB1">
        <w:rPr>
          <w:rFonts w:ascii="Arial" w:eastAsia="Times New Roman" w:hAnsi="Arial" w:cs="Times New Roman"/>
          <w:szCs w:val="24"/>
          <w:lang w:val="en-GB"/>
        </w:rPr>
        <w:t xml:space="preserve">, and has not been re-evaluated in the context of the 2017 NEP, </w:t>
      </w:r>
      <w:r>
        <w:rPr>
          <w:rFonts w:ascii="Arial" w:eastAsia="Times New Roman" w:hAnsi="Arial" w:cs="Times New Roman"/>
          <w:szCs w:val="24"/>
          <w:lang w:val="en-GB"/>
        </w:rPr>
        <w:t xml:space="preserve">it may be appropriate for the Commission to determine if the policy </w:t>
      </w:r>
      <w:r w:rsidR="00DE457D">
        <w:rPr>
          <w:rFonts w:ascii="Arial" w:eastAsia="Times New Roman" w:hAnsi="Arial" w:cs="Times New Roman"/>
          <w:szCs w:val="24"/>
          <w:lang w:val="en-GB"/>
        </w:rPr>
        <w:t>should</w:t>
      </w:r>
      <w:r>
        <w:rPr>
          <w:rFonts w:ascii="Arial" w:eastAsia="Times New Roman" w:hAnsi="Arial" w:cs="Times New Roman"/>
          <w:szCs w:val="24"/>
          <w:lang w:val="en-GB"/>
        </w:rPr>
        <w:t xml:space="preserve"> be updated</w:t>
      </w:r>
      <w:r w:rsidR="00DE457D">
        <w:rPr>
          <w:rFonts w:ascii="Arial" w:eastAsia="Times New Roman" w:hAnsi="Arial" w:cs="Times New Roman"/>
          <w:szCs w:val="24"/>
          <w:lang w:val="en-GB"/>
        </w:rPr>
        <w:t xml:space="preserve"> in accordance with the guidance material provisions in the NEP</w:t>
      </w:r>
      <w:r>
        <w:rPr>
          <w:rFonts w:ascii="Arial" w:eastAsia="Times New Roman" w:hAnsi="Arial" w:cs="Times New Roman"/>
          <w:szCs w:val="24"/>
          <w:lang w:val="en-GB"/>
        </w:rPr>
        <w:t>, or alternatively, request that the Minister provide additional direction</w:t>
      </w:r>
      <w:r w:rsidR="006B0154">
        <w:rPr>
          <w:rFonts w:ascii="Arial" w:eastAsia="Times New Roman" w:hAnsi="Arial" w:cs="Times New Roman"/>
          <w:szCs w:val="24"/>
          <w:lang w:val="en-GB"/>
        </w:rPr>
        <w:t>—based on the recommendations of the Commission—</w:t>
      </w:r>
      <w:r>
        <w:rPr>
          <w:rFonts w:ascii="Arial" w:eastAsia="Times New Roman" w:hAnsi="Arial" w:cs="Times New Roman"/>
          <w:szCs w:val="24"/>
          <w:lang w:val="en-GB"/>
        </w:rPr>
        <w:t>through a regulation under the NEPDA to set out what is meant by “urban uses.” Such a regulation could be crafted without requiring an amendment to the NEPDA.</w:t>
      </w:r>
    </w:p>
    <w:p w14:paraId="40A84316" w14:textId="470E55FE" w:rsidR="0091033F" w:rsidRDefault="0091033F" w:rsidP="00E70073">
      <w:pPr>
        <w:spacing w:after="0"/>
        <w:rPr>
          <w:rFonts w:ascii="Arial" w:eastAsia="Times New Roman" w:hAnsi="Arial" w:cs="Times New Roman"/>
          <w:szCs w:val="24"/>
          <w:lang w:val="en-GB"/>
        </w:rPr>
      </w:pPr>
    </w:p>
    <w:p w14:paraId="716DA0E1" w14:textId="2EFBF1DB" w:rsidR="00D06930" w:rsidRDefault="006B0154" w:rsidP="00E70073">
      <w:pPr>
        <w:spacing w:after="0"/>
        <w:rPr>
          <w:rFonts w:ascii="Arial" w:eastAsia="Times New Roman" w:hAnsi="Arial" w:cs="Times New Roman"/>
          <w:szCs w:val="24"/>
          <w:lang w:val="en-GB"/>
        </w:rPr>
      </w:pPr>
      <w:r>
        <w:rPr>
          <w:rFonts w:ascii="Arial" w:eastAsia="Times New Roman" w:hAnsi="Arial" w:cs="Times New Roman"/>
          <w:szCs w:val="24"/>
          <w:lang w:val="en-GB"/>
        </w:rPr>
        <w:t xml:space="preserve">In summary, the considerations regarding NEP urban amendments are much broader than the policies contained in the NEPDA and NEP. Allowing for urban amendments to proceed at </w:t>
      </w:r>
      <w:proofErr w:type="spellStart"/>
      <w:r>
        <w:rPr>
          <w:rFonts w:ascii="Arial" w:eastAsia="Times New Roman" w:hAnsi="Arial" w:cs="Times New Roman"/>
          <w:szCs w:val="24"/>
          <w:lang w:val="en-GB"/>
        </w:rPr>
        <w:t>anytime</w:t>
      </w:r>
      <w:proofErr w:type="spellEnd"/>
      <w:r>
        <w:rPr>
          <w:rFonts w:ascii="Arial" w:eastAsia="Times New Roman" w:hAnsi="Arial" w:cs="Times New Roman"/>
          <w:szCs w:val="24"/>
          <w:lang w:val="en-GB"/>
        </w:rPr>
        <w:t xml:space="preserve"> would result in a policy framework for the NEP Area that </w:t>
      </w:r>
      <w:r w:rsidR="00D06930">
        <w:rPr>
          <w:rFonts w:ascii="Arial" w:eastAsia="Times New Roman" w:hAnsi="Arial" w:cs="Times New Roman"/>
          <w:szCs w:val="24"/>
          <w:lang w:val="en-GB"/>
        </w:rPr>
        <w:t>has less rigor than what is applied elsewhere in southern Ontario. While the NEPDA could be changed to align better with Growth Plan requirements, proceeding with such an amendment would have to align with other government priorities, and take place at an appropriate time.</w:t>
      </w:r>
    </w:p>
    <w:p w14:paraId="17009F53" w14:textId="77777777" w:rsidR="006B0154" w:rsidRDefault="006B0154" w:rsidP="00E70073">
      <w:pPr>
        <w:spacing w:after="0"/>
        <w:rPr>
          <w:rFonts w:ascii="Arial" w:eastAsia="Times New Roman" w:hAnsi="Arial" w:cs="Times New Roman"/>
          <w:szCs w:val="24"/>
          <w:lang w:val="en-GB"/>
        </w:rPr>
      </w:pPr>
    </w:p>
    <w:p w14:paraId="66D08780" w14:textId="10763C07" w:rsidR="0078718D" w:rsidRDefault="0078718D" w:rsidP="00E70073">
      <w:pPr>
        <w:pStyle w:val="Heading3"/>
      </w:pPr>
      <w:r w:rsidRPr="0078718D">
        <w:t>RECOMMENDATION:</w:t>
      </w:r>
    </w:p>
    <w:p w14:paraId="189D6263" w14:textId="0608A4E3" w:rsidR="00DE457D" w:rsidRPr="00DE457D" w:rsidRDefault="009A10CB" w:rsidP="003C1CB1">
      <w:pPr>
        <w:rPr>
          <w:rFonts w:ascii="Arial" w:eastAsia="Times New Roman" w:hAnsi="Arial" w:cs="Times New Roman"/>
          <w:szCs w:val="24"/>
          <w:lang w:val="en-GB"/>
        </w:rPr>
      </w:pPr>
      <w:r>
        <w:rPr>
          <w:rFonts w:ascii="Arial" w:eastAsia="Times New Roman" w:hAnsi="Arial" w:cs="Times New Roman"/>
          <w:szCs w:val="24"/>
          <w:lang w:val="en-GB"/>
        </w:rPr>
        <w:t xml:space="preserve">That </w:t>
      </w:r>
      <w:r w:rsidR="00DE457D">
        <w:rPr>
          <w:rFonts w:ascii="Arial" w:eastAsia="Times New Roman" w:hAnsi="Arial" w:cs="Times New Roman"/>
          <w:szCs w:val="24"/>
          <w:lang w:val="en-GB"/>
        </w:rPr>
        <w:t xml:space="preserve">the </w:t>
      </w:r>
      <w:r w:rsidR="003C1CB1">
        <w:rPr>
          <w:rFonts w:ascii="Arial" w:eastAsia="Times New Roman" w:hAnsi="Arial" w:cs="Times New Roman"/>
          <w:szCs w:val="24"/>
          <w:lang w:val="en-GB"/>
        </w:rPr>
        <w:t>Commission receive this report for information.</w:t>
      </w:r>
    </w:p>
    <w:p w14:paraId="4A2E9E11" w14:textId="4C63CCF2" w:rsidR="00210D9F" w:rsidRPr="00210D9F" w:rsidRDefault="00AE1BAF" w:rsidP="00210D9F">
      <w:pPr>
        <w:pStyle w:val="Heading2"/>
        <w:spacing w:line="276" w:lineRule="auto"/>
        <w:rPr>
          <w:lang w:val="en-US"/>
        </w:rPr>
      </w:pPr>
      <w:r>
        <w:rPr>
          <w:lang w:val="en-US"/>
        </w:rPr>
        <w:t>Prepared by:</w:t>
      </w:r>
      <w:r w:rsidR="00D06930">
        <w:rPr>
          <w:lang w:val="en-US"/>
        </w:rPr>
        <w:tab/>
      </w:r>
      <w:r w:rsidR="00D06930">
        <w:rPr>
          <w:lang w:val="en-US"/>
        </w:rPr>
        <w:tab/>
      </w:r>
      <w:r w:rsidR="00D06930">
        <w:rPr>
          <w:lang w:val="en-US"/>
        </w:rPr>
        <w:tab/>
      </w:r>
      <w:r w:rsidR="00D06930">
        <w:rPr>
          <w:lang w:val="en-US"/>
        </w:rPr>
        <w:tab/>
        <w:t>Approved by:</w:t>
      </w:r>
    </w:p>
    <w:p w14:paraId="1F7CFB61" w14:textId="74C52A24" w:rsidR="00AE1BAF" w:rsidRDefault="005A01CF" w:rsidP="00210D9F">
      <w:pPr>
        <w:pStyle w:val="Heading2"/>
        <w:rPr>
          <w:rFonts w:cstheme="minorHAnsi"/>
          <w:b w:val="0"/>
          <w:bCs/>
          <w:lang w:val="en-US"/>
        </w:rPr>
      </w:pPr>
      <w:r w:rsidRPr="00210D9F">
        <w:rPr>
          <w:noProof/>
          <w:u w:val="single"/>
        </w:rPr>
        <w:drawing>
          <wp:inline distT="0" distB="0" distL="0" distR="0" wp14:anchorId="5A8DA239" wp14:editId="0B67788A">
            <wp:extent cx="964308" cy="35133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9800" cy="367912"/>
                    </a:xfrm>
                    <a:prstGeom prst="rect">
                      <a:avLst/>
                    </a:prstGeom>
                  </pic:spPr>
                </pic:pic>
              </a:graphicData>
            </a:graphic>
          </wp:inline>
        </w:drawing>
      </w:r>
      <w:r w:rsidR="00D06930">
        <w:rPr>
          <w:noProof/>
        </w:rPr>
        <w:tab/>
      </w:r>
      <w:r w:rsidR="00D06930">
        <w:rPr>
          <w:noProof/>
        </w:rPr>
        <w:tab/>
      </w:r>
      <w:r w:rsidR="00210D9F">
        <w:rPr>
          <w:noProof/>
        </w:rPr>
        <w:tab/>
      </w:r>
      <w:r w:rsidR="00210D9F">
        <w:rPr>
          <w:noProof/>
        </w:rPr>
        <w:tab/>
      </w:r>
      <w:r w:rsidR="00210D9F" w:rsidRPr="00EB45EE">
        <w:rPr>
          <w:noProof/>
          <w:u w:val="single"/>
        </w:rPr>
        <w:drawing>
          <wp:inline distT="0" distB="0" distL="0" distR="0" wp14:anchorId="5FF60171" wp14:editId="36B9D395">
            <wp:extent cx="849086" cy="464136"/>
            <wp:effectExtent l="0" t="0" r="8255" b="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8750" cy="480351"/>
                    </a:xfrm>
                    <a:prstGeom prst="rect">
                      <a:avLst/>
                    </a:prstGeom>
                    <a:noFill/>
                    <a:ln>
                      <a:noFill/>
                    </a:ln>
                  </pic:spPr>
                </pic:pic>
              </a:graphicData>
            </a:graphic>
          </wp:inline>
        </w:drawing>
      </w:r>
      <w:r w:rsidR="00D06930">
        <w:rPr>
          <w:rFonts w:cstheme="minorHAnsi"/>
          <w:bCs/>
          <w:lang w:val="en-US"/>
        </w:rPr>
        <w:tab/>
      </w:r>
    </w:p>
    <w:p w14:paraId="470E077B" w14:textId="555EE259" w:rsidR="00AE1BAF" w:rsidRDefault="003D1C26" w:rsidP="00E70073">
      <w:pPr>
        <w:spacing w:after="0"/>
        <w:rPr>
          <w:rFonts w:cstheme="minorHAnsi"/>
          <w:lang w:val="en-US"/>
        </w:rPr>
      </w:pPr>
      <w:r>
        <w:rPr>
          <w:rFonts w:cstheme="minorHAnsi"/>
          <w:lang w:val="en-US"/>
        </w:rPr>
        <w:t>Kim Peters</w:t>
      </w:r>
      <w:r w:rsidR="00097F4F">
        <w:rPr>
          <w:rFonts w:cstheme="minorHAnsi"/>
          <w:lang w:val="en-US"/>
        </w:rPr>
        <w:t>, MCIP, RPP</w:t>
      </w:r>
      <w:r w:rsidR="00D06930">
        <w:rPr>
          <w:rFonts w:cstheme="minorHAnsi"/>
          <w:lang w:val="en-US"/>
        </w:rPr>
        <w:tab/>
      </w:r>
      <w:r w:rsidR="00D06930">
        <w:rPr>
          <w:rFonts w:cstheme="minorHAnsi"/>
          <w:lang w:val="en-US"/>
        </w:rPr>
        <w:tab/>
      </w:r>
      <w:r w:rsidR="00D06930">
        <w:rPr>
          <w:rFonts w:cstheme="minorHAnsi"/>
          <w:lang w:val="en-US"/>
        </w:rPr>
        <w:tab/>
        <w:t>Debbie Ramsay, MCIP, RPP</w:t>
      </w:r>
    </w:p>
    <w:p w14:paraId="51236058" w14:textId="231FCB60" w:rsidR="00D06930" w:rsidRDefault="003D1C26" w:rsidP="00E70073">
      <w:pPr>
        <w:spacing w:after="0"/>
        <w:rPr>
          <w:rFonts w:cstheme="minorHAnsi"/>
          <w:lang w:val="en-US"/>
        </w:rPr>
      </w:pPr>
      <w:r>
        <w:rPr>
          <w:rFonts w:cstheme="minorHAnsi"/>
          <w:lang w:val="en-US"/>
        </w:rPr>
        <w:t>Manager</w:t>
      </w:r>
      <w:r w:rsidR="00D06930">
        <w:rPr>
          <w:rFonts w:cstheme="minorHAnsi"/>
          <w:lang w:val="en-US"/>
        </w:rPr>
        <w:tab/>
      </w:r>
      <w:r w:rsidR="00D06930">
        <w:rPr>
          <w:rFonts w:cstheme="minorHAnsi"/>
          <w:lang w:val="en-US"/>
        </w:rPr>
        <w:tab/>
      </w:r>
      <w:r w:rsidR="00D06930">
        <w:rPr>
          <w:rFonts w:cstheme="minorHAnsi"/>
          <w:lang w:val="en-US"/>
        </w:rPr>
        <w:tab/>
      </w:r>
      <w:r w:rsidR="00D06930">
        <w:rPr>
          <w:rFonts w:cstheme="minorHAnsi"/>
          <w:lang w:val="en-US"/>
        </w:rPr>
        <w:tab/>
      </w:r>
      <w:r w:rsidR="00D06930">
        <w:rPr>
          <w:rFonts w:cstheme="minorHAnsi"/>
          <w:lang w:val="en-US"/>
        </w:rPr>
        <w:tab/>
        <w:t>Director</w:t>
      </w:r>
    </w:p>
    <w:p w14:paraId="5BE458C0" w14:textId="4C14D0B7" w:rsidR="00785D51" w:rsidRDefault="00D06930" w:rsidP="00210D9F">
      <w:pPr>
        <w:jc w:val="right"/>
        <w:rPr>
          <w:rFonts w:cstheme="minorHAnsi"/>
          <w:b/>
          <w:bCs/>
          <w:lang w:val="en-US"/>
        </w:rPr>
      </w:pPr>
      <w:r w:rsidRPr="00785D51">
        <w:rPr>
          <w:rFonts w:cstheme="minorHAnsi"/>
          <w:b/>
          <w:bCs/>
          <w:lang w:val="en-US"/>
        </w:rPr>
        <w:lastRenderedPageBreak/>
        <w:t>Appendix A:</w:t>
      </w:r>
    </w:p>
    <w:p w14:paraId="16B46F55" w14:textId="24153022" w:rsidR="00AE1BAF" w:rsidRPr="00785D51" w:rsidRDefault="00D06930" w:rsidP="00785D51">
      <w:pPr>
        <w:spacing w:after="0"/>
        <w:jc w:val="right"/>
        <w:rPr>
          <w:rFonts w:cstheme="minorHAnsi"/>
          <w:b/>
          <w:bCs/>
          <w:lang w:val="en-US"/>
        </w:rPr>
      </w:pPr>
      <w:r w:rsidRPr="00785D51">
        <w:rPr>
          <w:rFonts w:cstheme="minorHAnsi"/>
          <w:b/>
          <w:bCs/>
          <w:lang w:val="en-US"/>
        </w:rPr>
        <w:t>NEC Urban Use Policy (2008)</w:t>
      </w:r>
    </w:p>
    <w:p w14:paraId="564EF9A8" w14:textId="2ECC8B75" w:rsidR="00AE1BAF" w:rsidRDefault="00AE1BAF" w:rsidP="00E70073">
      <w:pPr>
        <w:spacing w:after="0"/>
        <w:rPr>
          <w:rFonts w:cstheme="minorHAnsi"/>
          <w:lang w:val="en-US"/>
        </w:rPr>
      </w:pPr>
    </w:p>
    <w:p w14:paraId="7418C33C" w14:textId="77777777" w:rsidR="00D06930" w:rsidRDefault="00D06930" w:rsidP="00D06930">
      <w:pPr>
        <w:pStyle w:val="Default"/>
        <w:jc w:val="center"/>
        <w:rPr>
          <w:sz w:val="23"/>
          <w:szCs w:val="23"/>
        </w:rPr>
      </w:pPr>
      <w:r>
        <w:rPr>
          <w:b/>
          <w:bCs/>
          <w:sz w:val="23"/>
          <w:szCs w:val="23"/>
        </w:rPr>
        <w:t xml:space="preserve">POLICY FOR URBAN USES </w:t>
      </w:r>
    </w:p>
    <w:p w14:paraId="7506BF6B" w14:textId="77777777" w:rsidR="00D06930" w:rsidRDefault="00D06930" w:rsidP="00D06930">
      <w:pPr>
        <w:pStyle w:val="Default"/>
        <w:jc w:val="center"/>
        <w:rPr>
          <w:sz w:val="23"/>
          <w:szCs w:val="23"/>
        </w:rPr>
      </w:pPr>
      <w:r>
        <w:rPr>
          <w:b/>
          <w:bCs/>
          <w:sz w:val="23"/>
          <w:szCs w:val="23"/>
        </w:rPr>
        <w:t xml:space="preserve">MADE TO ADMINISTER SECTION 6.1(2.2) OF THE </w:t>
      </w:r>
    </w:p>
    <w:p w14:paraId="1EEA57FF" w14:textId="77777777" w:rsidR="00D06930" w:rsidRDefault="00D06930" w:rsidP="00D06930">
      <w:pPr>
        <w:pStyle w:val="Default"/>
        <w:jc w:val="center"/>
        <w:rPr>
          <w:sz w:val="23"/>
          <w:szCs w:val="23"/>
        </w:rPr>
      </w:pPr>
      <w:r>
        <w:rPr>
          <w:b/>
          <w:bCs/>
          <w:sz w:val="23"/>
          <w:szCs w:val="23"/>
        </w:rPr>
        <w:t xml:space="preserve">NIAGARA ESCARPMENT PLANNING AND DEVELOPMENT ACT </w:t>
      </w:r>
    </w:p>
    <w:p w14:paraId="0BC9D1E0" w14:textId="77777777" w:rsidR="00785D51" w:rsidRDefault="00785D51" w:rsidP="00D06930">
      <w:pPr>
        <w:pStyle w:val="Default"/>
        <w:rPr>
          <w:sz w:val="23"/>
          <w:szCs w:val="23"/>
        </w:rPr>
      </w:pPr>
    </w:p>
    <w:p w14:paraId="1F3E8950" w14:textId="3A348472" w:rsidR="00D06930" w:rsidRDefault="00D06930" w:rsidP="00785D51">
      <w:pPr>
        <w:pStyle w:val="Default"/>
        <w:spacing w:line="276" w:lineRule="auto"/>
        <w:rPr>
          <w:sz w:val="23"/>
          <w:szCs w:val="23"/>
        </w:rPr>
      </w:pPr>
      <w:r>
        <w:rPr>
          <w:sz w:val="23"/>
          <w:szCs w:val="23"/>
        </w:rPr>
        <w:t xml:space="preserve">This policy applies in the absence of a Regulation made by the Minister of Natural Resources under Section 23(e) of the </w:t>
      </w:r>
      <w:r>
        <w:rPr>
          <w:i/>
          <w:iCs/>
          <w:sz w:val="23"/>
          <w:szCs w:val="23"/>
        </w:rPr>
        <w:t xml:space="preserve">Niagara Escarpment Planning and Development Act </w:t>
      </w:r>
      <w:r>
        <w:rPr>
          <w:sz w:val="23"/>
          <w:szCs w:val="23"/>
        </w:rPr>
        <w:t xml:space="preserve">defining urban uses. </w:t>
      </w:r>
    </w:p>
    <w:p w14:paraId="06CE0147" w14:textId="77777777" w:rsidR="00785D51" w:rsidRDefault="00785D51" w:rsidP="00785D51">
      <w:pPr>
        <w:pStyle w:val="Default"/>
        <w:spacing w:line="276" w:lineRule="auto"/>
        <w:rPr>
          <w:sz w:val="23"/>
          <w:szCs w:val="23"/>
        </w:rPr>
      </w:pPr>
    </w:p>
    <w:p w14:paraId="3D2673F7" w14:textId="5885244A" w:rsidR="00D06930" w:rsidRDefault="00D06930" w:rsidP="00785D51">
      <w:pPr>
        <w:pStyle w:val="Default"/>
        <w:spacing w:line="276" w:lineRule="auto"/>
        <w:rPr>
          <w:sz w:val="23"/>
          <w:szCs w:val="23"/>
        </w:rPr>
      </w:pPr>
      <w:r>
        <w:rPr>
          <w:sz w:val="23"/>
          <w:szCs w:val="23"/>
        </w:rPr>
        <w:t xml:space="preserve">Section 6.1(2.2) prevents the consideration of any request to amend the Niagara Escarpment for an "urban use" in the Escarpment Natural Area, Escarpment Protection Area, Escarpment Rural Area and Mineral Resource Extraction Area designations, where such an amendment is required to permit the "urban use". </w:t>
      </w:r>
    </w:p>
    <w:p w14:paraId="1972D029" w14:textId="77777777" w:rsidR="00785D51" w:rsidRDefault="00785D51" w:rsidP="00785D51">
      <w:pPr>
        <w:pStyle w:val="Default"/>
        <w:spacing w:line="276" w:lineRule="auto"/>
        <w:rPr>
          <w:sz w:val="23"/>
          <w:szCs w:val="23"/>
        </w:rPr>
      </w:pPr>
    </w:p>
    <w:p w14:paraId="073BA386" w14:textId="2813C4D4" w:rsidR="00D06930" w:rsidRDefault="00D06930" w:rsidP="00785D51">
      <w:pPr>
        <w:pStyle w:val="Default"/>
        <w:spacing w:line="276" w:lineRule="auto"/>
        <w:rPr>
          <w:sz w:val="23"/>
          <w:szCs w:val="23"/>
        </w:rPr>
      </w:pPr>
      <w:r>
        <w:rPr>
          <w:sz w:val="23"/>
          <w:szCs w:val="23"/>
        </w:rPr>
        <w:t xml:space="preserve">The definition, as set out below, is therefore intended to address those "urban uses" not already identified by the Niagara Escarpment Plan as permitted uses in the Escarpment Natural Area, Escarpment Protection Area, Escarpment Rural Area and Mineral Resource Extraction Area designations. Urban uses already identified in the Niagara Escarpment Plan are not affected by this definition, since they do not require an amendment to the Plan; </w:t>
      </w:r>
      <w:proofErr w:type="gramStart"/>
      <w:r>
        <w:rPr>
          <w:sz w:val="23"/>
          <w:szCs w:val="23"/>
        </w:rPr>
        <w:t>therefore</w:t>
      </w:r>
      <w:proofErr w:type="gramEnd"/>
      <w:r>
        <w:rPr>
          <w:sz w:val="23"/>
          <w:szCs w:val="23"/>
        </w:rPr>
        <w:t xml:space="preserve"> the policy will have no effect on those urban uses. </w:t>
      </w:r>
    </w:p>
    <w:p w14:paraId="2D25E5C3" w14:textId="77777777" w:rsidR="00785D51" w:rsidRDefault="00785D51" w:rsidP="00785D51">
      <w:pPr>
        <w:pStyle w:val="Default"/>
        <w:spacing w:line="276" w:lineRule="auto"/>
        <w:jc w:val="center"/>
        <w:rPr>
          <w:b/>
          <w:bCs/>
          <w:sz w:val="23"/>
          <w:szCs w:val="23"/>
        </w:rPr>
      </w:pPr>
    </w:p>
    <w:p w14:paraId="15FD0886" w14:textId="64A871E2" w:rsidR="00D06930" w:rsidRDefault="00D06930" w:rsidP="00785D51">
      <w:pPr>
        <w:pStyle w:val="Default"/>
        <w:spacing w:line="276" w:lineRule="auto"/>
        <w:jc w:val="center"/>
        <w:rPr>
          <w:sz w:val="23"/>
          <w:szCs w:val="23"/>
        </w:rPr>
      </w:pPr>
      <w:r>
        <w:rPr>
          <w:b/>
          <w:bCs/>
          <w:sz w:val="23"/>
          <w:szCs w:val="23"/>
        </w:rPr>
        <w:t xml:space="preserve">URBAN USES </w:t>
      </w:r>
    </w:p>
    <w:p w14:paraId="7C2A4734" w14:textId="77777777" w:rsidR="00785D51" w:rsidRDefault="00785D51" w:rsidP="00785D51">
      <w:pPr>
        <w:pStyle w:val="Default"/>
        <w:spacing w:line="276" w:lineRule="auto"/>
        <w:rPr>
          <w:sz w:val="23"/>
          <w:szCs w:val="23"/>
        </w:rPr>
      </w:pPr>
    </w:p>
    <w:p w14:paraId="273CC30A" w14:textId="21EC2A94" w:rsidR="00D06930" w:rsidRDefault="00D06930" w:rsidP="00785D51">
      <w:pPr>
        <w:pStyle w:val="Default"/>
        <w:spacing w:line="276" w:lineRule="auto"/>
        <w:rPr>
          <w:sz w:val="23"/>
          <w:szCs w:val="23"/>
        </w:rPr>
      </w:pPr>
      <w:r>
        <w:rPr>
          <w:sz w:val="23"/>
          <w:szCs w:val="23"/>
        </w:rPr>
        <w:t xml:space="preserve">“Urban Uses” includes the following, </w:t>
      </w:r>
    </w:p>
    <w:p w14:paraId="34378A39" w14:textId="77777777" w:rsidR="00785D51" w:rsidRDefault="00785D51" w:rsidP="00785D51">
      <w:pPr>
        <w:pStyle w:val="Default"/>
        <w:spacing w:line="276" w:lineRule="auto"/>
        <w:rPr>
          <w:sz w:val="23"/>
          <w:szCs w:val="23"/>
        </w:rPr>
      </w:pPr>
    </w:p>
    <w:p w14:paraId="04661A0C" w14:textId="20A8F240" w:rsidR="00785D51" w:rsidRDefault="00785D51" w:rsidP="00785D51">
      <w:pPr>
        <w:pStyle w:val="Default"/>
        <w:numPr>
          <w:ilvl w:val="0"/>
          <w:numId w:val="27"/>
        </w:numPr>
        <w:spacing w:line="276" w:lineRule="auto"/>
        <w:rPr>
          <w:sz w:val="23"/>
          <w:szCs w:val="23"/>
        </w:rPr>
      </w:pPr>
      <w:r>
        <w:rPr>
          <w:sz w:val="23"/>
          <w:szCs w:val="23"/>
        </w:rPr>
        <w:t>c</w:t>
      </w:r>
      <w:r w:rsidR="00D06930">
        <w:rPr>
          <w:sz w:val="23"/>
          <w:szCs w:val="23"/>
        </w:rPr>
        <w:t>ommercial and industrial land uses, excluding</w:t>
      </w:r>
      <w:r>
        <w:rPr>
          <w:sz w:val="23"/>
          <w:szCs w:val="23"/>
        </w:rPr>
        <w:t>:</w:t>
      </w:r>
    </w:p>
    <w:p w14:paraId="2C863DF1" w14:textId="77777777" w:rsidR="00785D51" w:rsidRDefault="00D06930" w:rsidP="00785D51">
      <w:pPr>
        <w:pStyle w:val="Default"/>
        <w:numPr>
          <w:ilvl w:val="1"/>
          <w:numId w:val="30"/>
        </w:numPr>
        <w:spacing w:line="276" w:lineRule="auto"/>
        <w:rPr>
          <w:sz w:val="23"/>
          <w:szCs w:val="23"/>
        </w:rPr>
      </w:pPr>
      <w:r>
        <w:rPr>
          <w:sz w:val="23"/>
          <w:szCs w:val="23"/>
        </w:rPr>
        <w:t xml:space="preserve">mineral extraction operations and associated accessory uses, including processing, </w:t>
      </w:r>
      <w:proofErr w:type="gramStart"/>
      <w:r>
        <w:rPr>
          <w:sz w:val="23"/>
          <w:szCs w:val="23"/>
        </w:rPr>
        <w:t>manufacturing</w:t>
      </w:r>
      <w:proofErr w:type="gramEnd"/>
      <w:r>
        <w:rPr>
          <w:sz w:val="23"/>
          <w:szCs w:val="23"/>
        </w:rPr>
        <w:t xml:space="preserve"> and recycling and reprocessing facilities as provided for by amendment from the Escarpment Rural Area designation to the Mineral Resource Extraction Area designation in the Niagara Escarpment Plan, and</w:t>
      </w:r>
    </w:p>
    <w:p w14:paraId="73143857" w14:textId="66642FAF" w:rsidR="00D06930" w:rsidRDefault="00D06930" w:rsidP="00785D51">
      <w:pPr>
        <w:pStyle w:val="Default"/>
        <w:numPr>
          <w:ilvl w:val="1"/>
          <w:numId w:val="30"/>
        </w:numPr>
        <w:spacing w:line="276" w:lineRule="auto"/>
        <w:rPr>
          <w:sz w:val="23"/>
          <w:szCs w:val="23"/>
        </w:rPr>
      </w:pPr>
      <w:r>
        <w:rPr>
          <w:sz w:val="23"/>
          <w:szCs w:val="23"/>
        </w:rPr>
        <w:t xml:space="preserve">accessory uses, including processing, </w:t>
      </w:r>
      <w:proofErr w:type="gramStart"/>
      <w:r>
        <w:rPr>
          <w:sz w:val="23"/>
          <w:szCs w:val="23"/>
        </w:rPr>
        <w:t>manufacturing</w:t>
      </w:r>
      <w:proofErr w:type="gramEnd"/>
      <w:r>
        <w:rPr>
          <w:sz w:val="23"/>
          <w:szCs w:val="23"/>
        </w:rPr>
        <w:t xml:space="preserve"> and recycling and reprocessing facilities associated with mineral extraction operations, which are located in the Mineral Resource Extraction Area designation of the Niagara Escarpment Plan. </w:t>
      </w:r>
    </w:p>
    <w:p w14:paraId="69C24675" w14:textId="77777777" w:rsidR="00D06930" w:rsidRDefault="00D06930" w:rsidP="00785D51">
      <w:pPr>
        <w:pStyle w:val="Default"/>
        <w:spacing w:line="276" w:lineRule="auto"/>
        <w:rPr>
          <w:sz w:val="23"/>
          <w:szCs w:val="23"/>
        </w:rPr>
      </w:pPr>
    </w:p>
    <w:p w14:paraId="42AC641E" w14:textId="77777777" w:rsidR="00785D51" w:rsidRDefault="00D06930" w:rsidP="00785D51">
      <w:pPr>
        <w:pStyle w:val="Default"/>
        <w:spacing w:line="276" w:lineRule="auto"/>
        <w:ind w:left="720"/>
        <w:rPr>
          <w:sz w:val="23"/>
          <w:szCs w:val="23"/>
        </w:rPr>
      </w:pPr>
      <w:r>
        <w:rPr>
          <w:sz w:val="23"/>
          <w:szCs w:val="23"/>
        </w:rPr>
        <w:t>Notwithstanding the exclusions above, all accessory uses associated with a mineral aggregate operation will only be considered on the basis that they are proposed as temporary and will remain in place only for the duration of the mineral extraction operation.</w:t>
      </w:r>
    </w:p>
    <w:p w14:paraId="5D15E339" w14:textId="2C6891C1" w:rsidR="00D06930" w:rsidRDefault="00D06930" w:rsidP="00785D51">
      <w:pPr>
        <w:pStyle w:val="Default"/>
        <w:spacing w:line="276" w:lineRule="auto"/>
        <w:ind w:left="720"/>
        <w:rPr>
          <w:sz w:val="23"/>
          <w:szCs w:val="23"/>
        </w:rPr>
      </w:pPr>
      <w:r>
        <w:rPr>
          <w:sz w:val="23"/>
          <w:szCs w:val="23"/>
        </w:rPr>
        <w:lastRenderedPageBreak/>
        <w:t xml:space="preserve"> </w:t>
      </w:r>
    </w:p>
    <w:p w14:paraId="5E35A5CF" w14:textId="33DFEA28" w:rsidR="00785D51" w:rsidRDefault="00785D51" w:rsidP="00785D51">
      <w:pPr>
        <w:pStyle w:val="Default"/>
        <w:numPr>
          <w:ilvl w:val="0"/>
          <w:numId w:val="31"/>
        </w:numPr>
        <w:spacing w:line="276" w:lineRule="auto"/>
        <w:rPr>
          <w:sz w:val="23"/>
          <w:szCs w:val="23"/>
        </w:rPr>
      </w:pPr>
      <w:r>
        <w:rPr>
          <w:sz w:val="23"/>
          <w:szCs w:val="23"/>
        </w:rPr>
        <w:t>i</w:t>
      </w:r>
      <w:r w:rsidR="00D06930">
        <w:rPr>
          <w:sz w:val="23"/>
          <w:szCs w:val="23"/>
        </w:rPr>
        <w:t>nstitutional land uses</w:t>
      </w:r>
      <w:r>
        <w:rPr>
          <w:sz w:val="23"/>
          <w:szCs w:val="23"/>
        </w:rPr>
        <w:t>, and</w:t>
      </w:r>
    </w:p>
    <w:p w14:paraId="4BB79216" w14:textId="77777777" w:rsidR="00785D51" w:rsidRDefault="00785D51" w:rsidP="00785D51">
      <w:pPr>
        <w:pStyle w:val="Default"/>
        <w:spacing w:line="276" w:lineRule="auto"/>
        <w:ind w:left="720"/>
        <w:rPr>
          <w:sz w:val="23"/>
          <w:szCs w:val="23"/>
        </w:rPr>
      </w:pPr>
    </w:p>
    <w:p w14:paraId="634ACF87" w14:textId="36365A5E" w:rsidR="00D06930" w:rsidRDefault="00D06930" w:rsidP="00785D51">
      <w:pPr>
        <w:pStyle w:val="Default"/>
        <w:numPr>
          <w:ilvl w:val="0"/>
          <w:numId w:val="31"/>
        </w:numPr>
        <w:spacing w:line="276" w:lineRule="auto"/>
        <w:rPr>
          <w:sz w:val="23"/>
          <w:szCs w:val="23"/>
        </w:rPr>
      </w:pPr>
      <w:r>
        <w:rPr>
          <w:sz w:val="23"/>
          <w:szCs w:val="23"/>
        </w:rPr>
        <w:t xml:space="preserve">multiple residential, or land uses that have a mix of residential units with another type of land use, and </w:t>
      </w:r>
    </w:p>
    <w:p w14:paraId="480852E5" w14:textId="77777777" w:rsidR="00D06930" w:rsidRDefault="00D06930" w:rsidP="00785D51">
      <w:pPr>
        <w:pStyle w:val="Default"/>
        <w:spacing w:line="276" w:lineRule="auto"/>
        <w:rPr>
          <w:sz w:val="23"/>
          <w:szCs w:val="23"/>
        </w:rPr>
      </w:pPr>
    </w:p>
    <w:p w14:paraId="026107C4" w14:textId="4F3E3A64" w:rsidR="00D06930" w:rsidRDefault="00D06930" w:rsidP="00785D51">
      <w:pPr>
        <w:pStyle w:val="Default"/>
        <w:spacing w:line="276" w:lineRule="auto"/>
        <w:ind w:left="720" w:hanging="360"/>
        <w:rPr>
          <w:sz w:val="23"/>
          <w:szCs w:val="23"/>
        </w:rPr>
      </w:pPr>
      <w:r>
        <w:rPr>
          <w:sz w:val="23"/>
          <w:szCs w:val="23"/>
        </w:rPr>
        <w:t>(</w:t>
      </w:r>
      <w:r w:rsidR="00785D51">
        <w:rPr>
          <w:sz w:val="23"/>
          <w:szCs w:val="23"/>
        </w:rPr>
        <w:t>d</w:t>
      </w:r>
      <w:r>
        <w:rPr>
          <w:sz w:val="23"/>
          <w:szCs w:val="23"/>
        </w:rPr>
        <w:t xml:space="preserve">) recreational and tourist destination land uses such as downhill ski centres, lakeshore cottage areas, resort or lodge development, raceways, hotels, casinos, golf courses, golf course driving ranges, including retail operations and service establishments associated with such uses, and </w:t>
      </w:r>
    </w:p>
    <w:p w14:paraId="5F73A53F" w14:textId="77777777" w:rsidR="00D06930" w:rsidRDefault="00D06930" w:rsidP="00785D51">
      <w:pPr>
        <w:pStyle w:val="Default"/>
        <w:spacing w:line="276" w:lineRule="auto"/>
        <w:ind w:left="720" w:hanging="360"/>
        <w:rPr>
          <w:sz w:val="23"/>
          <w:szCs w:val="23"/>
        </w:rPr>
      </w:pPr>
    </w:p>
    <w:p w14:paraId="729740D2" w14:textId="079E28E5" w:rsidR="00D06930" w:rsidRDefault="00D06930" w:rsidP="00785D51">
      <w:pPr>
        <w:pStyle w:val="Default"/>
        <w:spacing w:line="276" w:lineRule="auto"/>
        <w:ind w:left="720" w:hanging="360"/>
        <w:rPr>
          <w:sz w:val="23"/>
          <w:szCs w:val="23"/>
        </w:rPr>
      </w:pPr>
      <w:r>
        <w:rPr>
          <w:sz w:val="23"/>
          <w:szCs w:val="23"/>
        </w:rPr>
        <w:t>(</w:t>
      </w:r>
      <w:r w:rsidR="00785D51">
        <w:rPr>
          <w:sz w:val="23"/>
          <w:szCs w:val="23"/>
        </w:rPr>
        <w:t>e</w:t>
      </w:r>
      <w:r>
        <w:rPr>
          <w:sz w:val="23"/>
          <w:szCs w:val="23"/>
        </w:rPr>
        <w:t xml:space="preserve">) systems and infrastructure such as sewers, mains, water pipes, and other services associated with public utilities, excluding systems and infrastructure where it has been determined by a medical officer of health (or health authority) that there is a public health concern that must be addressed, and </w:t>
      </w:r>
    </w:p>
    <w:p w14:paraId="2F9EAE74" w14:textId="77777777" w:rsidR="00D06930" w:rsidRDefault="00D06930" w:rsidP="00785D51">
      <w:pPr>
        <w:pStyle w:val="Default"/>
        <w:spacing w:line="276" w:lineRule="auto"/>
        <w:ind w:left="720" w:hanging="360"/>
        <w:rPr>
          <w:sz w:val="23"/>
          <w:szCs w:val="23"/>
        </w:rPr>
      </w:pPr>
    </w:p>
    <w:p w14:paraId="75975CD9" w14:textId="0EE9B261" w:rsidR="00D06930" w:rsidRDefault="00D06930" w:rsidP="00785D51">
      <w:pPr>
        <w:pStyle w:val="Default"/>
        <w:spacing w:line="276" w:lineRule="auto"/>
        <w:ind w:left="720" w:hanging="360"/>
        <w:rPr>
          <w:sz w:val="23"/>
          <w:szCs w:val="23"/>
        </w:rPr>
      </w:pPr>
      <w:r>
        <w:rPr>
          <w:sz w:val="23"/>
          <w:szCs w:val="23"/>
        </w:rPr>
        <w:t>(</w:t>
      </w:r>
      <w:r w:rsidR="00785D51">
        <w:rPr>
          <w:sz w:val="23"/>
          <w:szCs w:val="23"/>
        </w:rPr>
        <w:t>f</w:t>
      </w:r>
      <w:r>
        <w:rPr>
          <w:sz w:val="23"/>
          <w:szCs w:val="23"/>
        </w:rPr>
        <w:t xml:space="preserve">) waste disposal or landfill sites, incineration sites, waste recycling sites, sewage treatment sites and facilities associated with such sites, excluding the recycling or reprocessing of mineral aggregate resources and aggregate materials within an approved Mineral Resource Extraction Area designation in the Niagara Escarpment Plan, and </w:t>
      </w:r>
    </w:p>
    <w:p w14:paraId="4AD1E053" w14:textId="77777777" w:rsidR="00D06930" w:rsidRDefault="00D06930" w:rsidP="00785D51">
      <w:pPr>
        <w:pStyle w:val="Default"/>
        <w:spacing w:line="276" w:lineRule="auto"/>
        <w:ind w:left="720" w:hanging="360"/>
        <w:rPr>
          <w:sz w:val="23"/>
          <w:szCs w:val="23"/>
        </w:rPr>
      </w:pPr>
    </w:p>
    <w:p w14:paraId="7097B4C7" w14:textId="222C2B7B" w:rsidR="00D06930" w:rsidRDefault="00D06930" w:rsidP="00785D51">
      <w:pPr>
        <w:pStyle w:val="Default"/>
        <w:spacing w:line="276" w:lineRule="auto"/>
        <w:ind w:left="720" w:hanging="360"/>
        <w:rPr>
          <w:sz w:val="23"/>
          <w:szCs w:val="23"/>
        </w:rPr>
      </w:pPr>
      <w:r>
        <w:rPr>
          <w:sz w:val="23"/>
          <w:szCs w:val="23"/>
        </w:rPr>
        <w:t>(</w:t>
      </w:r>
      <w:r w:rsidR="00785D51">
        <w:rPr>
          <w:sz w:val="23"/>
          <w:szCs w:val="23"/>
        </w:rPr>
        <w:t>g</w:t>
      </w:r>
      <w:r>
        <w:rPr>
          <w:sz w:val="23"/>
          <w:szCs w:val="23"/>
        </w:rPr>
        <w:t xml:space="preserve">) multiple lot creation by way of plan of subdivision, consent to sever or plan of condominium, and </w:t>
      </w:r>
    </w:p>
    <w:p w14:paraId="06FF3454" w14:textId="77777777" w:rsidR="00D06930" w:rsidRDefault="00D06930" w:rsidP="00785D51">
      <w:pPr>
        <w:pStyle w:val="Default"/>
        <w:spacing w:line="276" w:lineRule="auto"/>
        <w:ind w:left="720" w:hanging="360"/>
        <w:rPr>
          <w:sz w:val="23"/>
          <w:szCs w:val="23"/>
        </w:rPr>
      </w:pPr>
    </w:p>
    <w:p w14:paraId="07871BB6" w14:textId="1CEEB022" w:rsidR="00D06930" w:rsidRDefault="00D06930" w:rsidP="00785D51">
      <w:pPr>
        <w:pStyle w:val="Default"/>
        <w:spacing w:line="276" w:lineRule="auto"/>
        <w:ind w:left="720" w:hanging="360"/>
        <w:rPr>
          <w:sz w:val="23"/>
          <w:szCs w:val="23"/>
        </w:rPr>
      </w:pPr>
      <w:r>
        <w:rPr>
          <w:sz w:val="23"/>
          <w:szCs w:val="23"/>
        </w:rPr>
        <w:t>(</w:t>
      </w:r>
      <w:r w:rsidR="00785D51">
        <w:rPr>
          <w:sz w:val="23"/>
          <w:szCs w:val="23"/>
        </w:rPr>
        <w:t>h</w:t>
      </w:r>
      <w:r>
        <w:rPr>
          <w:sz w:val="23"/>
          <w:szCs w:val="23"/>
        </w:rPr>
        <w:t xml:space="preserve">) land uses that would normally be found within the land use designations of Minor Urban Centre, Urban Area or Escarpment Recreation Area in the Niagara Escarpment Plan, and </w:t>
      </w:r>
    </w:p>
    <w:p w14:paraId="653EDA80" w14:textId="77777777" w:rsidR="00D06930" w:rsidRDefault="00D06930" w:rsidP="00785D51">
      <w:pPr>
        <w:pStyle w:val="Default"/>
        <w:spacing w:line="276" w:lineRule="auto"/>
        <w:ind w:left="720" w:hanging="360"/>
        <w:rPr>
          <w:sz w:val="23"/>
          <w:szCs w:val="23"/>
        </w:rPr>
      </w:pPr>
    </w:p>
    <w:p w14:paraId="375141FC" w14:textId="574DE0F5" w:rsidR="00D06930" w:rsidRDefault="00D06930" w:rsidP="00785D51">
      <w:pPr>
        <w:pStyle w:val="Default"/>
        <w:spacing w:line="276" w:lineRule="auto"/>
        <w:ind w:left="720" w:hanging="360"/>
        <w:rPr>
          <w:sz w:val="23"/>
          <w:szCs w:val="23"/>
        </w:rPr>
      </w:pPr>
      <w:r>
        <w:rPr>
          <w:sz w:val="23"/>
          <w:szCs w:val="23"/>
        </w:rPr>
        <w:t>(</w:t>
      </w:r>
      <w:proofErr w:type="spellStart"/>
      <w:r w:rsidR="00785D51">
        <w:rPr>
          <w:sz w:val="23"/>
          <w:szCs w:val="23"/>
        </w:rPr>
        <w:t>i</w:t>
      </w:r>
      <w:proofErr w:type="spellEnd"/>
      <w:r>
        <w:rPr>
          <w:sz w:val="23"/>
          <w:szCs w:val="23"/>
        </w:rPr>
        <w:t xml:space="preserve">) land uses that would normally be found within a designation in a municipal official plan for an area of settlement such as an urban area, urban policy area, town, village, hamlet, rural cluster, rural settlement area, urban system, rural service centre, future urban use area or designated growth area. </w:t>
      </w:r>
    </w:p>
    <w:p w14:paraId="435D2016" w14:textId="77777777" w:rsidR="00D06930" w:rsidRDefault="00D06930" w:rsidP="00785D51">
      <w:pPr>
        <w:pStyle w:val="Default"/>
        <w:spacing w:line="276" w:lineRule="auto"/>
        <w:rPr>
          <w:sz w:val="23"/>
          <w:szCs w:val="23"/>
        </w:rPr>
      </w:pPr>
    </w:p>
    <w:p w14:paraId="11A339E1" w14:textId="66A4C707" w:rsidR="00AE1BAF" w:rsidRDefault="00D06930" w:rsidP="00785D51">
      <w:pPr>
        <w:spacing w:after="0"/>
        <w:rPr>
          <w:rFonts w:cstheme="minorHAnsi"/>
          <w:b/>
          <w:bCs/>
          <w:lang w:val="en-US"/>
        </w:rPr>
      </w:pPr>
      <w:r>
        <w:rPr>
          <w:sz w:val="23"/>
          <w:szCs w:val="23"/>
        </w:rPr>
        <w:t>Notwithstanding (a) to (</w:t>
      </w:r>
      <w:proofErr w:type="spellStart"/>
      <w:r>
        <w:rPr>
          <w:sz w:val="23"/>
          <w:szCs w:val="23"/>
        </w:rPr>
        <w:t>i</w:t>
      </w:r>
      <w:proofErr w:type="spellEnd"/>
      <w:r>
        <w:rPr>
          <w:sz w:val="23"/>
          <w:szCs w:val="23"/>
        </w:rPr>
        <w:t>) above, those "urban uses" which are currently permitted under the Escarpment Natural Area, Escarpment Protection Area and Escarpment Rural Area designations, not specifically introduced as part of a past Niagara Escarpment Plan Amendment or exception, are excluded for the purposes of amending a Mineral Resource Extraction Area in the Niagara Escarpment Plan to any one of those designations, provided additional "urban uses" are not included in any such amendment.</w:t>
      </w:r>
    </w:p>
    <w:sectPr w:rsidR="00AE1BAF" w:rsidSect="00726084">
      <w:footerReference w:type="default" r:id="rId14"/>
      <w:headerReference w:type="first" r:id="rId15"/>
      <w:footerReference w:type="first" r:id="rId16"/>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71359" w14:textId="77777777" w:rsidR="00464082" w:rsidRDefault="00464082" w:rsidP="00F72078">
      <w:pPr>
        <w:spacing w:after="0" w:line="240" w:lineRule="auto"/>
      </w:pPr>
      <w:r>
        <w:separator/>
      </w:r>
    </w:p>
  </w:endnote>
  <w:endnote w:type="continuationSeparator" w:id="0">
    <w:p w14:paraId="599E070A" w14:textId="77777777" w:rsidR="00464082" w:rsidRDefault="00464082"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014128"/>
      <w:docPartObj>
        <w:docPartGallery w:val="Page Numbers (Bottom of Page)"/>
        <w:docPartUnique/>
      </w:docPartObj>
    </w:sdtPr>
    <w:sdtEndPr>
      <w:rPr>
        <w:noProof/>
      </w:rPr>
    </w:sdtEndPr>
    <w:sdtContent>
      <w:p w14:paraId="6B7C5AE0" w14:textId="3C0D48EE" w:rsidR="002C117F" w:rsidRDefault="002C11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2C117F" w:rsidRDefault="002C1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281906"/>
      <w:docPartObj>
        <w:docPartGallery w:val="Page Numbers (Bottom of Page)"/>
        <w:docPartUnique/>
      </w:docPartObj>
    </w:sdtPr>
    <w:sdtEndPr>
      <w:rPr>
        <w:noProof/>
      </w:rPr>
    </w:sdtEndPr>
    <w:sdtContent>
      <w:p w14:paraId="2C4C54F4" w14:textId="1F7039FB" w:rsidR="002C117F" w:rsidRDefault="002C11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2C117F" w:rsidRPr="00E16EFC" w:rsidRDefault="002C117F"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9E77D" w14:textId="77777777" w:rsidR="00464082" w:rsidRDefault="00464082" w:rsidP="00F72078">
      <w:pPr>
        <w:spacing w:after="0" w:line="240" w:lineRule="auto"/>
      </w:pPr>
      <w:r>
        <w:separator/>
      </w:r>
    </w:p>
  </w:footnote>
  <w:footnote w:type="continuationSeparator" w:id="0">
    <w:p w14:paraId="0B374C8C" w14:textId="77777777" w:rsidR="00464082" w:rsidRDefault="00464082"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EDD4" w14:textId="7C1D5125" w:rsidR="002C117F" w:rsidRPr="0035152F" w:rsidRDefault="002C117F"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5A5B7388">
      <w:rPr>
        <w:rFonts w:asciiTheme="minorHAnsi" w:hAnsiTheme="minorHAnsi" w:cstheme="minorBidi"/>
        <w:sz w:val="24"/>
        <w:szCs w:val="24"/>
      </w:rPr>
      <w:t>Niagara Escarpment Commission</w:t>
    </w:r>
  </w:p>
  <w:p w14:paraId="11EA8540" w14:textId="50614A03" w:rsidR="002C117F" w:rsidRDefault="002C117F"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2C117F" w:rsidRPr="0035152F" w:rsidRDefault="002C117F"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2085"/>
    <w:multiLevelType w:val="hybridMultilevel"/>
    <w:tmpl w:val="8022FD2C"/>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2A543D"/>
    <w:multiLevelType w:val="hybridMultilevel"/>
    <w:tmpl w:val="1D54603C"/>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A446D0"/>
    <w:multiLevelType w:val="hybridMultilevel"/>
    <w:tmpl w:val="695C70D2"/>
    <w:lvl w:ilvl="0" w:tplc="10090013">
      <w:start w:val="1"/>
      <w:numFmt w:val="upperRoman"/>
      <w:lvlText w:val="%1."/>
      <w:lvlJc w:val="right"/>
      <w:pPr>
        <w:ind w:left="720" w:hanging="360"/>
      </w:pPr>
    </w:lvl>
    <w:lvl w:ilvl="1" w:tplc="4914F97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1B5D99"/>
    <w:multiLevelType w:val="hybridMultilevel"/>
    <w:tmpl w:val="10AAB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4D53D3"/>
    <w:multiLevelType w:val="hybridMultilevel"/>
    <w:tmpl w:val="F46C93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09358A"/>
    <w:multiLevelType w:val="hybridMultilevel"/>
    <w:tmpl w:val="4EBE27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7B56E3"/>
    <w:multiLevelType w:val="hybridMultilevel"/>
    <w:tmpl w:val="031A7448"/>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11"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565DF3"/>
    <w:multiLevelType w:val="hybridMultilevel"/>
    <w:tmpl w:val="953CC7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2323440"/>
    <w:multiLevelType w:val="hybridMultilevel"/>
    <w:tmpl w:val="70EC7A30"/>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F3C026D"/>
    <w:multiLevelType w:val="hybridMultilevel"/>
    <w:tmpl w:val="CA00D668"/>
    <w:lvl w:ilvl="0" w:tplc="C0A61B68">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3942A6D"/>
    <w:multiLevelType w:val="hybridMultilevel"/>
    <w:tmpl w:val="651EA962"/>
    <w:lvl w:ilvl="0" w:tplc="EF60EBF0">
      <w:start w:val="1"/>
      <w:numFmt w:val="lowerLetter"/>
      <w:lvlText w:val="%1)"/>
      <w:lvlJc w:val="left"/>
      <w:pPr>
        <w:ind w:left="720" w:hanging="360"/>
      </w:pPr>
      <w:rPr>
        <w:sz w:val="24"/>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565517B"/>
    <w:multiLevelType w:val="hybridMultilevel"/>
    <w:tmpl w:val="73D2AEE0"/>
    <w:lvl w:ilvl="0" w:tplc="ED3A5DA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FD0C68"/>
    <w:multiLevelType w:val="hybridMultilevel"/>
    <w:tmpl w:val="CA9477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9915F60"/>
    <w:multiLevelType w:val="hybridMultilevel"/>
    <w:tmpl w:val="875A28CC"/>
    <w:lvl w:ilvl="0" w:tplc="10090013">
      <w:start w:val="1"/>
      <w:numFmt w:val="upperRoman"/>
      <w:lvlText w:val="%1."/>
      <w:lvlJc w:val="right"/>
      <w:pPr>
        <w:ind w:left="720" w:hanging="360"/>
      </w:pPr>
    </w:lvl>
    <w:lvl w:ilvl="1" w:tplc="1009001B">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825156"/>
    <w:multiLevelType w:val="hybridMultilevel"/>
    <w:tmpl w:val="A63835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C5A28F7"/>
    <w:multiLevelType w:val="hybridMultilevel"/>
    <w:tmpl w:val="64EC38B6"/>
    <w:lvl w:ilvl="0" w:tplc="146497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F550BA7"/>
    <w:multiLevelType w:val="hybridMultilevel"/>
    <w:tmpl w:val="9362C3FA"/>
    <w:lvl w:ilvl="0" w:tplc="FFA88D36">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1733186"/>
    <w:multiLevelType w:val="multilevel"/>
    <w:tmpl w:val="22BE5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A62F85"/>
    <w:multiLevelType w:val="hybridMultilevel"/>
    <w:tmpl w:val="72A499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B2238A6"/>
    <w:multiLevelType w:val="hybridMultilevel"/>
    <w:tmpl w:val="7F00B678"/>
    <w:lvl w:ilvl="0" w:tplc="FDB6FC30">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BD87CAD"/>
    <w:multiLevelType w:val="hybridMultilevel"/>
    <w:tmpl w:val="93E40E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1"/>
  </w:num>
  <w:num w:numId="2">
    <w:abstractNumId w:val="28"/>
  </w:num>
  <w:num w:numId="3">
    <w:abstractNumId w:val="30"/>
  </w:num>
  <w:num w:numId="4">
    <w:abstractNumId w:val="5"/>
  </w:num>
  <w:num w:numId="5">
    <w:abstractNumId w:val="2"/>
  </w:num>
  <w:num w:numId="6">
    <w:abstractNumId w:val="14"/>
  </w:num>
  <w:num w:numId="7">
    <w:abstractNumId w:val="1"/>
  </w:num>
  <w:num w:numId="8">
    <w:abstractNumId w:val="23"/>
  </w:num>
  <w:num w:numId="9">
    <w:abstractNumId w:val="8"/>
  </w:num>
  <w:num w:numId="10">
    <w:abstractNumId w:val="29"/>
  </w:num>
  <w:num w:numId="11">
    <w:abstractNumId w:val="21"/>
  </w:num>
  <w:num w:numId="12">
    <w:abstractNumId w:val="12"/>
  </w:num>
  <w:num w:numId="13">
    <w:abstractNumId w:val="6"/>
  </w:num>
  <w:num w:numId="14">
    <w:abstractNumId w:val="10"/>
  </w:num>
  <w:num w:numId="15">
    <w:abstractNumId w:val="24"/>
  </w:num>
  <w:num w:numId="16">
    <w:abstractNumId w:val="26"/>
  </w:num>
  <w:num w:numId="17">
    <w:abstractNumId w:val="17"/>
  </w:num>
  <w:num w:numId="18">
    <w:abstractNumId w:val="7"/>
  </w:num>
  <w:num w:numId="19">
    <w:abstractNumId w:val="3"/>
  </w:num>
  <w:num w:numId="20">
    <w:abstractNumId w:val="27"/>
  </w:num>
  <w:num w:numId="21">
    <w:abstractNumId w:val="20"/>
  </w:num>
  <w:num w:numId="22">
    <w:abstractNumId w:val="9"/>
  </w:num>
  <w:num w:numId="23">
    <w:abstractNumId w:val="16"/>
  </w:num>
  <w:num w:numId="24">
    <w:abstractNumId w:val="0"/>
  </w:num>
  <w:num w:numId="25">
    <w:abstractNumId w:val="25"/>
  </w:num>
  <w:num w:numId="26">
    <w:abstractNumId w:val="18"/>
  </w:num>
  <w:num w:numId="27">
    <w:abstractNumId w:val="15"/>
  </w:num>
  <w:num w:numId="28">
    <w:abstractNumId w:val="13"/>
  </w:num>
  <w:num w:numId="29">
    <w:abstractNumId w:val="4"/>
  </w:num>
  <w:num w:numId="30">
    <w:abstractNumId w:val="1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2340F"/>
    <w:rsid w:val="00033D1B"/>
    <w:rsid w:val="00035A2C"/>
    <w:rsid w:val="00050580"/>
    <w:rsid w:val="00050B41"/>
    <w:rsid w:val="000513D9"/>
    <w:rsid w:val="000563B8"/>
    <w:rsid w:val="000755F5"/>
    <w:rsid w:val="000872F5"/>
    <w:rsid w:val="00097F4F"/>
    <w:rsid w:val="000A0119"/>
    <w:rsid w:val="000A1A28"/>
    <w:rsid w:val="000C6C13"/>
    <w:rsid w:val="000D3A0A"/>
    <w:rsid w:val="000E249F"/>
    <w:rsid w:val="000F3ED9"/>
    <w:rsid w:val="000F5131"/>
    <w:rsid w:val="000F75BB"/>
    <w:rsid w:val="00110437"/>
    <w:rsid w:val="00111EB1"/>
    <w:rsid w:val="00115A16"/>
    <w:rsid w:val="001200D9"/>
    <w:rsid w:val="001227D9"/>
    <w:rsid w:val="00130AEB"/>
    <w:rsid w:val="001408EF"/>
    <w:rsid w:val="0015085A"/>
    <w:rsid w:val="001604F7"/>
    <w:rsid w:val="00162CBB"/>
    <w:rsid w:val="00194885"/>
    <w:rsid w:val="001A4B64"/>
    <w:rsid w:val="001C37B4"/>
    <w:rsid w:val="001D76A0"/>
    <w:rsid w:val="001F129E"/>
    <w:rsid w:val="001F1895"/>
    <w:rsid w:val="00203E14"/>
    <w:rsid w:val="00204819"/>
    <w:rsid w:val="002061FC"/>
    <w:rsid w:val="00210D9F"/>
    <w:rsid w:val="002135BD"/>
    <w:rsid w:val="002164B8"/>
    <w:rsid w:val="00225BE4"/>
    <w:rsid w:val="00227C52"/>
    <w:rsid w:val="00236CAA"/>
    <w:rsid w:val="00250E34"/>
    <w:rsid w:val="00254BFD"/>
    <w:rsid w:val="00272C7C"/>
    <w:rsid w:val="00297DEC"/>
    <w:rsid w:val="002A1104"/>
    <w:rsid w:val="002B0712"/>
    <w:rsid w:val="002B6A43"/>
    <w:rsid w:val="002C117F"/>
    <w:rsid w:val="002D5DA5"/>
    <w:rsid w:val="002D6269"/>
    <w:rsid w:val="002E6FF6"/>
    <w:rsid w:val="002E7C99"/>
    <w:rsid w:val="002F129C"/>
    <w:rsid w:val="00304308"/>
    <w:rsid w:val="00317F1F"/>
    <w:rsid w:val="003363EA"/>
    <w:rsid w:val="00337798"/>
    <w:rsid w:val="0035152F"/>
    <w:rsid w:val="003571F1"/>
    <w:rsid w:val="0036413B"/>
    <w:rsid w:val="003855DF"/>
    <w:rsid w:val="00392C66"/>
    <w:rsid w:val="003A1F0D"/>
    <w:rsid w:val="003C1CB1"/>
    <w:rsid w:val="003C5437"/>
    <w:rsid w:val="003C544A"/>
    <w:rsid w:val="003D1C26"/>
    <w:rsid w:val="003D285E"/>
    <w:rsid w:val="003E5702"/>
    <w:rsid w:val="003F3509"/>
    <w:rsid w:val="003F457B"/>
    <w:rsid w:val="00404C1A"/>
    <w:rsid w:val="00414A2C"/>
    <w:rsid w:val="00451119"/>
    <w:rsid w:val="00460F29"/>
    <w:rsid w:val="00464082"/>
    <w:rsid w:val="0046593C"/>
    <w:rsid w:val="004813AD"/>
    <w:rsid w:val="00482248"/>
    <w:rsid w:val="00487378"/>
    <w:rsid w:val="00487996"/>
    <w:rsid w:val="00487ED5"/>
    <w:rsid w:val="004A2238"/>
    <w:rsid w:val="004A392D"/>
    <w:rsid w:val="004B347D"/>
    <w:rsid w:val="004B68E9"/>
    <w:rsid w:val="004B69F7"/>
    <w:rsid w:val="004C3CBA"/>
    <w:rsid w:val="004E6283"/>
    <w:rsid w:val="004E6398"/>
    <w:rsid w:val="004E7A3F"/>
    <w:rsid w:val="004F1B03"/>
    <w:rsid w:val="004F20C3"/>
    <w:rsid w:val="004F420F"/>
    <w:rsid w:val="0050145F"/>
    <w:rsid w:val="00502FFB"/>
    <w:rsid w:val="00523E5B"/>
    <w:rsid w:val="00525B30"/>
    <w:rsid w:val="005422A1"/>
    <w:rsid w:val="00554131"/>
    <w:rsid w:val="00557A5A"/>
    <w:rsid w:val="005600A3"/>
    <w:rsid w:val="0057735C"/>
    <w:rsid w:val="00584EAE"/>
    <w:rsid w:val="00585458"/>
    <w:rsid w:val="00593D1C"/>
    <w:rsid w:val="00594402"/>
    <w:rsid w:val="005A01CF"/>
    <w:rsid w:val="005A1F6C"/>
    <w:rsid w:val="005A5E39"/>
    <w:rsid w:val="005E2387"/>
    <w:rsid w:val="0060350C"/>
    <w:rsid w:val="00615D58"/>
    <w:rsid w:val="00624B02"/>
    <w:rsid w:val="00643386"/>
    <w:rsid w:val="006557EF"/>
    <w:rsid w:val="00666886"/>
    <w:rsid w:val="0067492A"/>
    <w:rsid w:val="00677F24"/>
    <w:rsid w:val="006904AD"/>
    <w:rsid w:val="0069132C"/>
    <w:rsid w:val="00695E04"/>
    <w:rsid w:val="006A2F1F"/>
    <w:rsid w:val="006B0154"/>
    <w:rsid w:val="006B1AE7"/>
    <w:rsid w:val="006B6742"/>
    <w:rsid w:val="006C7751"/>
    <w:rsid w:val="006D1805"/>
    <w:rsid w:val="006D5590"/>
    <w:rsid w:val="006D6F03"/>
    <w:rsid w:val="006D72AA"/>
    <w:rsid w:val="006E32B7"/>
    <w:rsid w:val="006F175B"/>
    <w:rsid w:val="006F317B"/>
    <w:rsid w:val="007008E4"/>
    <w:rsid w:val="00712A99"/>
    <w:rsid w:val="00716C04"/>
    <w:rsid w:val="00720288"/>
    <w:rsid w:val="00723667"/>
    <w:rsid w:val="00726084"/>
    <w:rsid w:val="0074240F"/>
    <w:rsid w:val="00742BCC"/>
    <w:rsid w:val="00750A92"/>
    <w:rsid w:val="00752BC9"/>
    <w:rsid w:val="00767151"/>
    <w:rsid w:val="007707B1"/>
    <w:rsid w:val="007825FD"/>
    <w:rsid w:val="00785D51"/>
    <w:rsid w:val="0078718D"/>
    <w:rsid w:val="00794C32"/>
    <w:rsid w:val="00797581"/>
    <w:rsid w:val="007A22CA"/>
    <w:rsid w:val="007B37E6"/>
    <w:rsid w:val="007D1D4F"/>
    <w:rsid w:val="007D6DDD"/>
    <w:rsid w:val="007D7B64"/>
    <w:rsid w:val="007F2A54"/>
    <w:rsid w:val="00800F82"/>
    <w:rsid w:val="008235BB"/>
    <w:rsid w:val="008259D3"/>
    <w:rsid w:val="00831811"/>
    <w:rsid w:val="0086731B"/>
    <w:rsid w:val="008903C2"/>
    <w:rsid w:val="008A624E"/>
    <w:rsid w:val="008B37DA"/>
    <w:rsid w:val="008B70A5"/>
    <w:rsid w:val="008E13BD"/>
    <w:rsid w:val="008F30D3"/>
    <w:rsid w:val="00902699"/>
    <w:rsid w:val="009043EF"/>
    <w:rsid w:val="0091033F"/>
    <w:rsid w:val="0092416C"/>
    <w:rsid w:val="00932E74"/>
    <w:rsid w:val="00932F05"/>
    <w:rsid w:val="009440D3"/>
    <w:rsid w:val="009471BD"/>
    <w:rsid w:val="00955CE1"/>
    <w:rsid w:val="009A10CB"/>
    <w:rsid w:val="009A2BDA"/>
    <w:rsid w:val="009A71B7"/>
    <w:rsid w:val="009A79D2"/>
    <w:rsid w:val="009B0374"/>
    <w:rsid w:val="009B1D63"/>
    <w:rsid w:val="009B65DE"/>
    <w:rsid w:val="009C07DB"/>
    <w:rsid w:val="009C08A4"/>
    <w:rsid w:val="009C5F67"/>
    <w:rsid w:val="009C6DC6"/>
    <w:rsid w:val="009E4657"/>
    <w:rsid w:val="009E5D6E"/>
    <w:rsid w:val="00A10621"/>
    <w:rsid w:val="00A127A5"/>
    <w:rsid w:val="00A3388F"/>
    <w:rsid w:val="00A42B45"/>
    <w:rsid w:val="00A44C27"/>
    <w:rsid w:val="00A4736E"/>
    <w:rsid w:val="00A6062B"/>
    <w:rsid w:val="00A6256E"/>
    <w:rsid w:val="00A70EAC"/>
    <w:rsid w:val="00A70F66"/>
    <w:rsid w:val="00A83411"/>
    <w:rsid w:val="00A84A0A"/>
    <w:rsid w:val="00A92694"/>
    <w:rsid w:val="00A963FC"/>
    <w:rsid w:val="00AA6EF3"/>
    <w:rsid w:val="00AC2A80"/>
    <w:rsid w:val="00AC2E31"/>
    <w:rsid w:val="00AD6DD9"/>
    <w:rsid w:val="00AD71CE"/>
    <w:rsid w:val="00AD7730"/>
    <w:rsid w:val="00AE1BAF"/>
    <w:rsid w:val="00AF2E8D"/>
    <w:rsid w:val="00AF4C63"/>
    <w:rsid w:val="00AF669C"/>
    <w:rsid w:val="00B24B82"/>
    <w:rsid w:val="00B37F75"/>
    <w:rsid w:val="00B40797"/>
    <w:rsid w:val="00B452CF"/>
    <w:rsid w:val="00B566B4"/>
    <w:rsid w:val="00B93223"/>
    <w:rsid w:val="00B9474D"/>
    <w:rsid w:val="00BA3FE0"/>
    <w:rsid w:val="00BB4230"/>
    <w:rsid w:val="00BE78C5"/>
    <w:rsid w:val="00BF0C91"/>
    <w:rsid w:val="00BF7145"/>
    <w:rsid w:val="00C029AC"/>
    <w:rsid w:val="00C07D93"/>
    <w:rsid w:val="00C11B70"/>
    <w:rsid w:val="00C11D5C"/>
    <w:rsid w:val="00C314F8"/>
    <w:rsid w:val="00C442F5"/>
    <w:rsid w:val="00C66A87"/>
    <w:rsid w:val="00C759C2"/>
    <w:rsid w:val="00C7752A"/>
    <w:rsid w:val="00C85176"/>
    <w:rsid w:val="00C90961"/>
    <w:rsid w:val="00C93AB7"/>
    <w:rsid w:val="00CA0013"/>
    <w:rsid w:val="00CB0B37"/>
    <w:rsid w:val="00CB2C1F"/>
    <w:rsid w:val="00CC034D"/>
    <w:rsid w:val="00CD179D"/>
    <w:rsid w:val="00CD3CFA"/>
    <w:rsid w:val="00CE2CD6"/>
    <w:rsid w:val="00CE7AB4"/>
    <w:rsid w:val="00CF1378"/>
    <w:rsid w:val="00D033F6"/>
    <w:rsid w:val="00D06930"/>
    <w:rsid w:val="00D10C62"/>
    <w:rsid w:val="00D21797"/>
    <w:rsid w:val="00D277AD"/>
    <w:rsid w:val="00D30B26"/>
    <w:rsid w:val="00D3654D"/>
    <w:rsid w:val="00D377C1"/>
    <w:rsid w:val="00D40A3A"/>
    <w:rsid w:val="00D5210E"/>
    <w:rsid w:val="00D651C8"/>
    <w:rsid w:val="00D70FC7"/>
    <w:rsid w:val="00D83F89"/>
    <w:rsid w:val="00D851A4"/>
    <w:rsid w:val="00DB4F93"/>
    <w:rsid w:val="00DB6F6F"/>
    <w:rsid w:val="00DD3F56"/>
    <w:rsid w:val="00DD40FE"/>
    <w:rsid w:val="00DE457D"/>
    <w:rsid w:val="00DF4960"/>
    <w:rsid w:val="00E0117D"/>
    <w:rsid w:val="00E03F83"/>
    <w:rsid w:val="00E062DF"/>
    <w:rsid w:val="00E16E9A"/>
    <w:rsid w:val="00E16EFC"/>
    <w:rsid w:val="00E2210F"/>
    <w:rsid w:val="00E25B54"/>
    <w:rsid w:val="00E52457"/>
    <w:rsid w:val="00E566ED"/>
    <w:rsid w:val="00E57CB5"/>
    <w:rsid w:val="00E60193"/>
    <w:rsid w:val="00E61786"/>
    <w:rsid w:val="00E623F9"/>
    <w:rsid w:val="00E70073"/>
    <w:rsid w:val="00E96BF4"/>
    <w:rsid w:val="00E97AA8"/>
    <w:rsid w:val="00EA61C5"/>
    <w:rsid w:val="00EC4699"/>
    <w:rsid w:val="00EC46AA"/>
    <w:rsid w:val="00EC7A3D"/>
    <w:rsid w:val="00ED6A75"/>
    <w:rsid w:val="00EE6B88"/>
    <w:rsid w:val="00F003CF"/>
    <w:rsid w:val="00F11D50"/>
    <w:rsid w:val="00F13DC8"/>
    <w:rsid w:val="00F13DFD"/>
    <w:rsid w:val="00F160EE"/>
    <w:rsid w:val="00F17B57"/>
    <w:rsid w:val="00F232C6"/>
    <w:rsid w:val="00F34A0A"/>
    <w:rsid w:val="00F37477"/>
    <w:rsid w:val="00F41322"/>
    <w:rsid w:val="00F446B8"/>
    <w:rsid w:val="00F52C69"/>
    <w:rsid w:val="00F61F85"/>
    <w:rsid w:val="00F62E9F"/>
    <w:rsid w:val="00F665A2"/>
    <w:rsid w:val="00F72078"/>
    <w:rsid w:val="00F76673"/>
    <w:rsid w:val="00F85186"/>
    <w:rsid w:val="00FA62DB"/>
    <w:rsid w:val="00FA77E8"/>
    <w:rsid w:val="00FB11EB"/>
    <w:rsid w:val="00FC1189"/>
    <w:rsid w:val="00FE363E"/>
    <w:rsid w:val="00FE62BC"/>
    <w:rsid w:val="00FF541A"/>
    <w:rsid w:val="00FF54C3"/>
    <w:rsid w:val="1FD1156E"/>
    <w:rsid w:val="25100559"/>
    <w:rsid w:val="27C39648"/>
    <w:rsid w:val="27ECAD89"/>
    <w:rsid w:val="28F7A10F"/>
    <w:rsid w:val="29B4A3C7"/>
    <w:rsid w:val="2B2BDEB1"/>
    <w:rsid w:val="34FAEE9C"/>
    <w:rsid w:val="47083F8C"/>
    <w:rsid w:val="4C4AE9B7"/>
    <w:rsid w:val="4F0FFADF"/>
    <w:rsid w:val="579EF9B0"/>
    <w:rsid w:val="5A5B7388"/>
    <w:rsid w:val="5C8B11FA"/>
    <w:rsid w:val="5F50BE4B"/>
    <w:rsid w:val="605DA99B"/>
    <w:rsid w:val="62041E4E"/>
    <w:rsid w:val="64585EE1"/>
    <w:rsid w:val="6574E2BD"/>
    <w:rsid w:val="6CE15A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paragraph" w:customStyle="1" w:styleId="paragraph">
    <w:name w:val="paragraph"/>
    <w:basedOn w:val="Normal"/>
    <w:rsid w:val="002C117F"/>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TMLCite">
    <w:name w:val="HTML Cite"/>
    <w:basedOn w:val="DefaultParagraphFont"/>
    <w:uiPriority w:val="99"/>
    <w:semiHidden/>
    <w:unhideWhenUsed/>
    <w:rsid w:val="00236CAA"/>
    <w:rPr>
      <w:i/>
      <w:iCs/>
    </w:rPr>
  </w:style>
  <w:style w:type="character" w:styleId="CommentReference">
    <w:name w:val="annotation reference"/>
    <w:basedOn w:val="DefaultParagraphFont"/>
    <w:uiPriority w:val="99"/>
    <w:semiHidden/>
    <w:unhideWhenUsed/>
    <w:rsid w:val="003C5437"/>
    <w:rPr>
      <w:sz w:val="16"/>
      <w:szCs w:val="16"/>
    </w:rPr>
  </w:style>
  <w:style w:type="paragraph" w:styleId="CommentText">
    <w:name w:val="annotation text"/>
    <w:basedOn w:val="Normal"/>
    <w:link w:val="CommentTextChar"/>
    <w:uiPriority w:val="99"/>
    <w:semiHidden/>
    <w:unhideWhenUsed/>
    <w:rsid w:val="003C5437"/>
    <w:pPr>
      <w:spacing w:line="240" w:lineRule="auto"/>
    </w:pPr>
    <w:rPr>
      <w:sz w:val="20"/>
      <w:szCs w:val="20"/>
    </w:rPr>
  </w:style>
  <w:style w:type="character" w:customStyle="1" w:styleId="CommentTextChar">
    <w:name w:val="Comment Text Char"/>
    <w:basedOn w:val="DefaultParagraphFont"/>
    <w:link w:val="CommentText"/>
    <w:uiPriority w:val="99"/>
    <w:semiHidden/>
    <w:rsid w:val="003C5437"/>
    <w:rPr>
      <w:sz w:val="20"/>
      <w:szCs w:val="20"/>
    </w:rPr>
  </w:style>
  <w:style w:type="paragraph" w:styleId="CommentSubject">
    <w:name w:val="annotation subject"/>
    <w:basedOn w:val="CommentText"/>
    <w:next w:val="CommentText"/>
    <w:link w:val="CommentSubjectChar"/>
    <w:uiPriority w:val="99"/>
    <w:semiHidden/>
    <w:unhideWhenUsed/>
    <w:rsid w:val="003C5437"/>
    <w:rPr>
      <w:b/>
      <w:bCs/>
    </w:rPr>
  </w:style>
  <w:style w:type="character" w:customStyle="1" w:styleId="CommentSubjectChar">
    <w:name w:val="Comment Subject Char"/>
    <w:basedOn w:val="CommentTextChar"/>
    <w:link w:val="CommentSubject"/>
    <w:uiPriority w:val="99"/>
    <w:semiHidden/>
    <w:rsid w:val="003C5437"/>
    <w:rPr>
      <w:b/>
      <w:bCs/>
      <w:sz w:val="20"/>
      <w:szCs w:val="20"/>
    </w:rPr>
  </w:style>
  <w:style w:type="paragraph" w:customStyle="1" w:styleId="Default">
    <w:name w:val="Default"/>
    <w:rsid w:val="00D0693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700946">
      <w:bodyDiv w:val="1"/>
      <w:marLeft w:val="0"/>
      <w:marRight w:val="0"/>
      <w:marTop w:val="0"/>
      <w:marBottom w:val="0"/>
      <w:divBdr>
        <w:top w:val="none" w:sz="0" w:space="0" w:color="auto"/>
        <w:left w:val="none" w:sz="0" w:space="0" w:color="auto"/>
        <w:bottom w:val="none" w:sz="0" w:space="0" w:color="auto"/>
        <w:right w:val="none" w:sz="0" w:space="0" w:color="auto"/>
      </w:divBdr>
    </w:div>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 w:id="1445073793">
      <w:bodyDiv w:val="1"/>
      <w:marLeft w:val="0"/>
      <w:marRight w:val="0"/>
      <w:marTop w:val="0"/>
      <w:marBottom w:val="0"/>
      <w:divBdr>
        <w:top w:val="none" w:sz="0" w:space="0" w:color="auto"/>
        <w:left w:val="none" w:sz="0" w:space="0" w:color="auto"/>
        <w:bottom w:val="none" w:sz="0" w:space="0" w:color="auto"/>
        <w:right w:val="none" w:sz="0" w:space="0" w:color="auto"/>
      </w:divBdr>
    </w:div>
    <w:div w:id="194814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FA17729DD9E45BC9BC554DA6D0C3A" ma:contentTypeVersion="13" ma:contentTypeDescription="Create a new document." ma:contentTypeScope="" ma:versionID="f107f197b20b29b632ee31484ca647ed">
  <xsd:schema xmlns:xsd="http://www.w3.org/2001/XMLSchema" xmlns:xs="http://www.w3.org/2001/XMLSchema" xmlns:p="http://schemas.microsoft.com/office/2006/metadata/properties" xmlns:ns2="7d803f9f-cc9c-46da-96c7-099e371d8765" xmlns:ns3="caf84e0d-3cfc-4cba-975b-13912877db17" targetNamespace="http://schemas.microsoft.com/office/2006/metadata/properties" ma:root="true" ma:fieldsID="ebaab2c968bdd94929dc9a6977756087" ns2:_="" ns3:_="">
    <xsd:import namespace="7d803f9f-cc9c-46da-96c7-099e371d8765"/>
    <xsd:import namespace="caf84e0d-3cfc-4cba-975b-13912877d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3f9f-cc9c-46da-96c7-099e371d8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f84e0d-3cfc-4cba-975b-13912877d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62471-D40D-466B-B418-24884F8B6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03f9f-cc9c-46da-96c7-099e371d8765"/>
    <ds:schemaRef ds:uri="caf84e0d-3cfc-4cba-975b-13912877d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35F7B-B0FD-4CEC-BC77-76830BF520F9}">
  <ds:schemaRefs>
    <ds:schemaRef ds:uri="http://schemas.openxmlformats.org/officeDocument/2006/bibliography"/>
  </ds:schemaRefs>
</ds:datastoreItem>
</file>

<file path=customXml/itemProps3.xml><?xml version="1.0" encoding="utf-8"?>
<ds:datastoreItem xmlns:ds="http://schemas.openxmlformats.org/officeDocument/2006/customXml" ds:itemID="{3B697792-83E7-4F5F-9E44-115BA551D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EF30C1-8573-43F9-990D-B171056FE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3066</Words>
  <Characters>17477</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Ventresca, Daniel (MNRF)</dc:creator>
  <cp:lastModifiedBy>Bochenek, Annemarie (NDMNRF)</cp:lastModifiedBy>
  <cp:revision>2</cp:revision>
  <dcterms:created xsi:type="dcterms:W3CDTF">2021-10-29T18:38:00Z</dcterms:created>
  <dcterms:modified xsi:type="dcterms:W3CDTF">2021-10-29T18:38:00Z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0x0101004ACFA17729DD9E45BC9BC554DA6D0C3A</vt:lpwstr>
  </property>
  <property fmtid="{D5CDD505-2E9C-101B-9397-08002B2CF9AE}" pid="3" name="MSIP_Label_034a106e-6316-442c-ad35-738afd673d2b_Enabled">
    <vt:lpwstr>true</vt:lpwstr>
  </property>
  <property fmtid="{D5CDD505-2E9C-101B-9397-08002B2CF9AE}" pid="4" name="MSIP_Label_034a106e-6316-442c-ad35-738afd673d2b_SetDate">
    <vt:lpwstr>2021-10-25T18:19:38Z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ies>
</file>