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97BC" w14:textId="77777777" w:rsidR="009C6422" w:rsidRDefault="009C6422" w:rsidP="00F61F85">
      <w:pPr>
        <w:rPr>
          <w:rFonts w:cstheme="minorHAnsi"/>
          <w:lang w:val="en-US"/>
        </w:rPr>
      </w:pPr>
    </w:p>
    <w:p w14:paraId="3F430F9E" w14:textId="36BE4039" w:rsidR="00997DD8" w:rsidRDefault="00AF1A9E" w:rsidP="00F61F85">
      <w:pPr>
        <w:rPr>
          <w:rFonts w:cstheme="minorHAnsi"/>
          <w:lang w:val="en-US"/>
        </w:rPr>
      </w:pPr>
      <w:r>
        <w:rPr>
          <w:rFonts w:cstheme="minorHAnsi"/>
          <w:lang w:val="en-US"/>
        </w:rPr>
        <w:t>April 21, 2022</w:t>
      </w:r>
    </w:p>
    <w:p w14:paraId="2F32C8F0" w14:textId="1C52DB90" w:rsidR="00554131" w:rsidRPr="00AF1A9E" w:rsidRDefault="008662C0" w:rsidP="0035152F">
      <w:pPr>
        <w:pStyle w:val="Heading1"/>
        <w:rPr>
          <w:sz w:val="32"/>
          <w:szCs w:val="32"/>
        </w:rPr>
      </w:pPr>
      <w:r>
        <w:rPr>
          <w:sz w:val="32"/>
          <w:szCs w:val="32"/>
        </w:rPr>
        <w:t>A2</w:t>
      </w:r>
      <w:r>
        <w:rPr>
          <w:sz w:val="32"/>
          <w:szCs w:val="32"/>
        </w:rPr>
        <w:tab/>
      </w:r>
      <w:r w:rsidR="00554131" w:rsidRPr="00AF1A9E">
        <w:rPr>
          <w:sz w:val="32"/>
          <w:szCs w:val="32"/>
        </w:rPr>
        <w:t>STAFF REPORT</w:t>
      </w:r>
    </w:p>
    <w:p w14:paraId="73063DD7" w14:textId="77777777" w:rsidR="00AF1A9E" w:rsidRPr="00AF1A9E" w:rsidRDefault="00AF1A9E" w:rsidP="00AF1A9E">
      <w:pPr>
        <w:tabs>
          <w:tab w:val="left" w:pos="-720"/>
        </w:tabs>
        <w:suppressAutoHyphens/>
        <w:spacing w:after="0" w:line="240" w:lineRule="auto"/>
        <w:jc w:val="center"/>
        <w:rPr>
          <w:rFonts w:ascii="Arial" w:eastAsia="Times New Roman" w:hAnsi="Arial" w:cs="Arial"/>
          <w:b/>
          <w:sz w:val="28"/>
          <w:szCs w:val="28"/>
        </w:rPr>
      </w:pPr>
    </w:p>
    <w:p w14:paraId="517F456F" w14:textId="77777777" w:rsidR="00AF1A9E" w:rsidRPr="00AF1A9E" w:rsidRDefault="00AF1A9E" w:rsidP="009C6422">
      <w:pPr>
        <w:tabs>
          <w:tab w:val="left" w:pos="-720"/>
        </w:tabs>
        <w:suppressAutoHyphens/>
        <w:spacing w:after="0"/>
        <w:ind w:left="720" w:hanging="720"/>
        <w:rPr>
          <w:rFonts w:eastAsia="Times New Roman" w:cstheme="minorHAnsi"/>
          <w:b/>
          <w:szCs w:val="24"/>
        </w:rPr>
      </w:pPr>
      <w:r w:rsidRPr="00AF1A9E">
        <w:rPr>
          <w:rFonts w:ascii="Arial" w:eastAsia="Times New Roman" w:hAnsi="Arial" w:cs="Arial"/>
          <w:b/>
          <w:szCs w:val="24"/>
        </w:rPr>
        <w:t>RE:</w:t>
      </w:r>
      <w:r w:rsidRPr="00AF1A9E">
        <w:rPr>
          <w:rFonts w:ascii="Arial" w:eastAsia="Times New Roman" w:hAnsi="Arial" w:cs="Arial"/>
          <w:b/>
          <w:szCs w:val="24"/>
        </w:rPr>
        <w:tab/>
      </w:r>
      <w:r w:rsidRPr="00AF1A9E">
        <w:rPr>
          <w:rFonts w:cstheme="minorHAnsi"/>
          <w:b/>
          <w:bCs/>
          <w:szCs w:val="24"/>
        </w:rPr>
        <w:t>Proposed Milton Quarry East Extension (MQEE) - Class A, Below Water Quarry</w:t>
      </w:r>
      <w:r w:rsidRPr="00AF1A9E">
        <w:rPr>
          <w:rFonts w:eastAsia="Times New Roman" w:cstheme="minorHAnsi"/>
          <w:b/>
          <w:szCs w:val="24"/>
        </w:rPr>
        <w:t xml:space="preserve"> </w:t>
      </w:r>
      <w:r w:rsidRPr="00AF1A9E">
        <w:rPr>
          <w:rFonts w:eastAsia="Times New Roman" w:cstheme="minorHAnsi"/>
          <w:b/>
          <w:i/>
          <w:iCs/>
          <w:szCs w:val="24"/>
        </w:rPr>
        <w:t>Aggregate Resources Act</w:t>
      </w:r>
      <w:r w:rsidRPr="00AF1A9E">
        <w:rPr>
          <w:rFonts w:eastAsia="Times New Roman" w:cstheme="minorHAnsi"/>
          <w:b/>
          <w:szCs w:val="24"/>
        </w:rPr>
        <w:t xml:space="preserve"> Licence Application</w:t>
      </w:r>
    </w:p>
    <w:p w14:paraId="1A97958F" w14:textId="77777777" w:rsidR="00AF1A9E" w:rsidRPr="00AF1A9E" w:rsidRDefault="00AF1A9E" w:rsidP="009C6422">
      <w:pPr>
        <w:pBdr>
          <w:bottom w:val="single" w:sz="4" w:space="1" w:color="auto"/>
        </w:pBdr>
        <w:tabs>
          <w:tab w:val="left" w:pos="-720"/>
        </w:tabs>
        <w:suppressAutoHyphens/>
        <w:spacing w:after="0"/>
        <w:ind w:left="720" w:hanging="720"/>
        <w:rPr>
          <w:rFonts w:cstheme="minorHAnsi"/>
          <w:b/>
          <w:bCs/>
          <w:szCs w:val="24"/>
        </w:rPr>
      </w:pPr>
      <w:r w:rsidRPr="00AF1A9E">
        <w:rPr>
          <w:rFonts w:ascii="Arial" w:eastAsia="Times New Roman" w:hAnsi="Arial" w:cs="Arial"/>
          <w:b/>
          <w:szCs w:val="24"/>
        </w:rPr>
        <w:tab/>
      </w:r>
      <w:r w:rsidRPr="00AF1A9E">
        <w:rPr>
          <w:rFonts w:cstheme="minorHAnsi"/>
          <w:b/>
          <w:bCs/>
          <w:szCs w:val="24"/>
        </w:rPr>
        <w:t>Part Lots 11 &amp; 12, Concession 1 (Geographic Township of Esquesing)</w:t>
      </w:r>
    </w:p>
    <w:p w14:paraId="57642024" w14:textId="417BD6F4" w:rsidR="00AF1A9E" w:rsidRPr="00AF1A9E" w:rsidRDefault="009443FA" w:rsidP="009443FA">
      <w:pPr>
        <w:pBdr>
          <w:bottom w:val="single" w:sz="4" w:space="1" w:color="auto"/>
        </w:pBdr>
        <w:tabs>
          <w:tab w:val="left" w:pos="-720"/>
        </w:tabs>
        <w:suppressAutoHyphens/>
        <w:spacing w:after="0"/>
        <w:ind w:left="720" w:hanging="720"/>
        <w:rPr>
          <w:rFonts w:eastAsia="Times New Roman" w:cstheme="minorHAnsi"/>
          <w:bCs/>
          <w:szCs w:val="24"/>
        </w:rPr>
      </w:pPr>
      <w:r>
        <w:rPr>
          <w:rFonts w:cstheme="minorHAnsi"/>
          <w:b/>
          <w:bCs/>
          <w:szCs w:val="24"/>
        </w:rPr>
        <w:tab/>
      </w:r>
      <w:r w:rsidR="00AF1A9E" w:rsidRPr="00AF1A9E">
        <w:rPr>
          <w:rFonts w:cstheme="minorHAnsi"/>
          <w:b/>
          <w:bCs/>
          <w:szCs w:val="24"/>
        </w:rPr>
        <w:t>Township of Halton</w:t>
      </w:r>
      <w:r w:rsidR="00AF1A9E" w:rsidRPr="00AF1A9E">
        <w:rPr>
          <w:rFonts w:eastAsia="Times New Roman" w:cstheme="minorHAnsi"/>
          <w:b/>
          <w:szCs w:val="24"/>
        </w:rPr>
        <w:t xml:space="preserve"> </w:t>
      </w:r>
      <w:r w:rsidR="00AF1A9E" w:rsidRPr="00AF1A9E">
        <w:rPr>
          <w:rFonts w:cstheme="minorHAnsi"/>
          <w:b/>
          <w:bCs/>
          <w:szCs w:val="24"/>
        </w:rPr>
        <w:t>Hills, Regional Municipality of Halton</w:t>
      </w:r>
    </w:p>
    <w:p w14:paraId="273FE4F1" w14:textId="77777777" w:rsidR="00AF1A9E" w:rsidRDefault="00AF1A9E" w:rsidP="00AF1A9E">
      <w:pPr>
        <w:tabs>
          <w:tab w:val="left" w:pos="-720"/>
        </w:tabs>
        <w:suppressAutoHyphens/>
        <w:spacing w:after="0" w:line="240" w:lineRule="auto"/>
        <w:rPr>
          <w:rFonts w:ascii="Arial" w:eastAsia="Times New Roman" w:hAnsi="Arial" w:cs="Arial"/>
          <w:b/>
          <w:szCs w:val="24"/>
        </w:rPr>
      </w:pPr>
    </w:p>
    <w:p w14:paraId="046CE422" w14:textId="6EBB6C8A" w:rsidR="00AF1A9E" w:rsidRPr="00AF1A9E" w:rsidRDefault="00AF1A9E" w:rsidP="00AF1A9E">
      <w:pPr>
        <w:tabs>
          <w:tab w:val="left" w:pos="-720"/>
        </w:tabs>
        <w:suppressAutoHyphens/>
        <w:spacing w:after="0"/>
        <w:rPr>
          <w:rFonts w:ascii="Arial" w:eastAsia="Times New Roman" w:hAnsi="Arial" w:cs="Arial"/>
          <w:b/>
          <w:szCs w:val="24"/>
        </w:rPr>
      </w:pPr>
      <w:r w:rsidRPr="00AF1A9E">
        <w:rPr>
          <w:rFonts w:ascii="Arial" w:eastAsia="Times New Roman" w:hAnsi="Arial" w:cs="Arial"/>
          <w:b/>
          <w:szCs w:val="24"/>
        </w:rPr>
        <w:t>SUMMARY RECOMMENDATION:</w:t>
      </w:r>
    </w:p>
    <w:p w14:paraId="6078AD50" w14:textId="77777777" w:rsidR="00AF1A9E" w:rsidRPr="00AF1A9E" w:rsidRDefault="00AF1A9E" w:rsidP="00AF1A9E">
      <w:pPr>
        <w:tabs>
          <w:tab w:val="left" w:pos="-720"/>
        </w:tabs>
        <w:suppressAutoHyphens/>
        <w:spacing w:after="0"/>
        <w:rPr>
          <w:rFonts w:ascii="Arial" w:eastAsia="Times New Roman" w:hAnsi="Arial" w:cs="Arial"/>
          <w:b/>
          <w:szCs w:val="24"/>
        </w:rPr>
      </w:pPr>
    </w:p>
    <w:p w14:paraId="109DC269" w14:textId="676AA649" w:rsidR="00AF1A9E" w:rsidRPr="00AF1A9E" w:rsidRDefault="00AF1A9E" w:rsidP="00AF1A9E">
      <w:pPr>
        <w:tabs>
          <w:tab w:val="left" w:pos="-720"/>
        </w:tabs>
        <w:suppressAutoHyphens/>
        <w:spacing w:after="0"/>
        <w:rPr>
          <w:rFonts w:ascii="Arial" w:eastAsia="Times New Roman" w:hAnsi="Arial" w:cs="Arial"/>
          <w:szCs w:val="24"/>
        </w:rPr>
      </w:pPr>
      <w:r w:rsidRPr="00AF1A9E">
        <w:rPr>
          <w:rFonts w:ascii="Arial" w:eastAsia="Times New Roman" w:hAnsi="Arial" w:cs="Arial"/>
          <w:szCs w:val="24"/>
        </w:rPr>
        <w:t>That the Niagara Escarpment Commission (NEC) advise the Ministry of Northern Development, Mines, Natural Resources and Forestry (</w:t>
      </w:r>
      <w:r w:rsidR="007D3375">
        <w:rPr>
          <w:rFonts w:ascii="Arial" w:eastAsia="Times New Roman" w:hAnsi="Arial" w:cs="Arial"/>
          <w:szCs w:val="24"/>
        </w:rPr>
        <w:t>M</w:t>
      </w:r>
      <w:r w:rsidRPr="00AF1A9E">
        <w:rPr>
          <w:rFonts w:ascii="Arial" w:eastAsia="Times New Roman" w:hAnsi="Arial" w:cs="Arial"/>
          <w:szCs w:val="24"/>
        </w:rPr>
        <w:t>NDMNRF) and Dufferin Aggregates</w:t>
      </w:r>
      <w:r w:rsidR="00612A55">
        <w:rPr>
          <w:rFonts w:ascii="Arial" w:eastAsia="Times New Roman" w:hAnsi="Arial" w:cs="Arial"/>
          <w:szCs w:val="24"/>
        </w:rPr>
        <w:t>,</w:t>
      </w:r>
      <w:r w:rsidRPr="00AF1A9E">
        <w:rPr>
          <w:rFonts w:ascii="Arial" w:eastAsia="Times New Roman" w:hAnsi="Arial" w:cs="Arial"/>
          <w:szCs w:val="24"/>
        </w:rPr>
        <w:t xml:space="preserve"> that it objects to the approval of a licence for the expansion of the Dufferin </w:t>
      </w:r>
      <w:r w:rsidR="00612A55">
        <w:rPr>
          <w:rFonts w:ascii="Arial" w:eastAsia="Times New Roman" w:hAnsi="Arial" w:cs="Arial"/>
          <w:szCs w:val="24"/>
        </w:rPr>
        <w:t xml:space="preserve">Milton </w:t>
      </w:r>
      <w:r w:rsidRPr="00AF1A9E">
        <w:rPr>
          <w:rFonts w:ascii="Arial" w:eastAsia="Times New Roman" w:hAnsi="Arial" w:cs="Arial"/>
          <w:szCs w:val="24"/>
        </w:rPr>
        <w:t xml:space="preserve">Quarry </w:t>
      </w:r>
      <w:r w:rsidR="00612A55">
        <w:rPr>
          <w:rFonts w:ascii="Arial" w:eastAsia="Times New Roman" w:hAnsi="Arial" w:cs="Arial"/>
          <w:szCs w:val="24"/>
        </w:rPr>
        <w:t xml:space="preserve">East Expansion </w:t>
      </w:r>
      <w:r w:rsidRPr="00AF1A9E">
        <w:rPr>
          <w:rFonts w:ascii="Arial" w:eastAsia="Times New Roman" w:hAnsi="Arial" w:cs="Arial"/>
          <w:szCs w:val="24"/>
        </w:rPr>
        <w:t xml:space="preserve">for the reasons outlined in the attached letter. </w:t>
      </w:r>
    </w:p>
    <w:p w14:paraId="0F3802A6" w14:textId="77777777" w:rsidR="00AF1A9E" w:rsidRPr="00AF1A9E" w:rsidRDefault="00AF1A9E" w:rsidP="00AF1A9E">
      <w:pPr>
        <w:tabs>
          <w:tab w:val="left" w:pos="-720"/>
        </w:tabs>
        <w:suppressAutoHyphens/>
        <w:spacing w:after="0"/>
        <w:rPr>
          <w:rFonts w:ascii="Arial" w:eastAsia="Times New Roman" w:hAnsi="Arial" w:cs="Arial"/>
          <w:szCs w:val="24"/>
        </w:rPr>
      </w:pPr>
    </w:p>
    <w:p w14:paraId="72CA5F3C" w14:textId="77777777" w:rsidR="00AF1A9E" w:rsidRPr="00AF1A9E" w:rsidRDefault="00AF1A9E" w:rsidP="00AF1A9E">
      <w:pPr>
        <w:tabs>
          <w:tab w:val="left" w:pos="-720"/>
        </w:tabs>
        <w:suppressAutoHyphens/>
        <w:spacing w:after="0"/>
        <w:rPr>
          <w:rFonts w:ascii="Arial" w:eastAsia="Times New Roman" w:hAnsi="Arial" w:cs="Arial"/>
          <w:b/>
          <w:szCs w:val="24"/>
        </w:rPr>
      </w:pPr>
      <w:r w:rsidRPr="00AF1A9E">
        <w:rPr>
          <w:rFonts w:ascii="Arial" w:eastAsia="Times New Roman" w:hAnsi="Arial" w:cs="Arial"/>
          <w:b/>
          <w:szCs w:val="24"/>
        </w:rPr>
        <w:t>PURPOSE:</w:t>
      </w:r>
    </w:p>
    <w:p w14:paraId="58B48532" w14:textId="77777777" w:rsidR="00AF1A9E" w:rsidRPr="00AF1A9E" w:rsidRDefault="00AF1A9E" w:rsidP="00AF1A9E">
      <w:pPr>
        <w:tabs>
          <w:tab w:val="left" w:pos="-720"/>
        </w:tabs>
        <w:suppressAutoHyphens/>
        <w:spacing w:after="0"/>
        <w:rPr>
          <w:rFonts w:ascii="Arial" w:eastAsia="Times New Roman" w:hAnsi="Arial" w:cs="Arial"/>
          <w:b/>
          <w:szCs w:val="24"/>
        </w:rPr>
      </w:pPr>
    </w:p>
    <w:p w14:paraId="2066A782" w14:textId="222D247B" w:rsidR="00AF1A9E" w:rsidRPr="00AF1A9E" w:rsidRDefault="00AF1A9E" w:rsidP="00AF1A9E">
      <w:pPr>
        <w:tabs>
          <w:tab w:val="left" w:pos="-720"/>
        </w:tabs>
        <w:suppressAutoHyphens/>
        <w:spacing w:after="0"/>
        <w:rPr>
          <w:rFonts w:ascii="Arial" w:eastAsia="Times New Roman" w:hAnsi="Arial" w:cs="Arial"/>
          <w:szCs w:val="24"/>
        </w:rPr>
      </w:pPr>
      <w:r w:rsidRPr="00AF1A9E">
        <w:rPr>
          <w:rFonts w:ascii="Arial" w:eastAsia="Times New Roman" w:hAnsi="Arial" w:cs="Arial"/>
          <w:szCs w:val="24"/>
        </w:rPr>
        <w:t xml:space="preserve">The purpose of this Report is to provide advice to the NEC regarding the Dufferin </w:t>
      </w:r>
      <w:r w:rsidR="009443FA" w:rsidRPr="00612A55">
        <w:rPr>
          <w:rFonts w:ascii="Arial" w:eastAsia="Times New Roman" w:hAnsi="Arial" w:cs="Arial"/>
          <w:i/>
          <w:iCs/>
          <w:szCs w:val="24"/>
        </w:rPr>
        <w:t>A</w:t>
      </w:r>
      <w:r w:rsidR="00612A55" w:rsidRPr="00612A55">
        <w:rPr>
          <w:rFonts w:ascii="Arial" w:eastAsia="Times New Roman" w:hAnsi="Arial" w:cs="Arial"/>
          <w:i/>
          <w:iCs/>
          <w:szCs w:val="24"/>
        </w:rPr>
        <w:t xml:space="preserve">ggregate </w:t>
      </w:r>
      <w:r w:rsidR="009443FA" w:rsidRPr="00612A55">
        <w:rPr>
          <w:rFonts w:ascii="Arial" w:eastAsia="Times New Roman" w:hAnsi="Arial" w:cs="Arial"/>
          <w:i/>
          <w:iCs/>
          <w:szCs w:val="24"/>
        </w:rPr>
        <w:t>R</w:t>
      </w:r>
      <w:r w:rsidR="00612A55" w:rsidRPr="00612A55">
        <w:rPr>
          <w:rFonts w:ascii="Arial" w:eastAsia="Times New Roman" w:hAnsi="Arial" w:cs="Arial"/>
          <w:i/>
          <w:iCs/>
          <w:szCs w:val="24"/>
        </w:rPr>
        <w:t xml:space="preserve">esources </w:t>
      </w:r>
      <w:r w:rsidR="009443FA" w:rsidRPr="00612A55">
        <w:rPr>
          <w:rFonts w:ascii="Arial" w:eastAsia="Times New Roman" w:hAnsi="Arial" w:cs="Arial"/>
          <w:i/>
          <w:iCs/>
          <w:szCs w:val="24"/>
        </w:rPr>
        <w:t>A</w:t>
      </w:r>
      <w:r w:rsidR="00612A55" w:rsidRPr="00612A55">
        <w:rPr>
          <w:rFonts w:ascii="Arial" w:eastAsia="Times New Roman" w:hAnsi="Arial" w:cs="Arial"/>
          <w:i/>
          <w:iCs/>
          <w:szCs w:val="24"/>
        </w:rPr>
        <w:t>ct</w:t>
      </w:r>
      <w:r w:rsidR="00612A55">
        <w:rPr>
          <w:rFonts w:ascii="Arial" w:eastAsia="Times New Roman" w:hAnsi="Arial" w:cs="Arial"/>
          <w:szCs w:val="24"/>
        </w:rPr>
        <w:t xml:space="preserve"> (ARA)</w:t>
      </w:r>
      <w:r w:rsidR="009443FA">
        <w:rPr>
          <w:rFonts w:ascii="Arial" w:eastAsia="Times New Roman" w:hAnsi="Arial" w:cs="Arial"/>
          <w:szCs w:val="24"/>
        </w:rPr>
        <w:t xml:space="preserve"> </w:t>
      </w:r>
      <w:r w:rsidRPr="00AF1A9E">
        <w:rPr>
          <w:rFonts w:ascii="Arial" w:eastAsia="Times New Roman" w:hAnsi="Arial" w:cs="Arial"/>
          <w:szCs w:val="24"/>
        </w:rPr>
        <w:t xml:space="preserve">licence application </w:t>
      </w:r>
      <w:r w:rsidR="00612A55">
        <w:rPr>
          <w:rFonts w:ascii="Arial" w:eastAsia="Times New Roman" w:hAnsi="Arial" w:cs="Arial"/>
          <w:szCs w:val="24"/>
        </w:rPr>
        <w:t>in order for the</w:t>
      </w:r>
      <w:r w:rsidRPr="00AF1A9E">
        <w:rPr>
          <w:rFonts w:ascii="Arial" w:eastAsia="Times New Roman" w:hAnsi="Arial" w:cs="Arial"/>
          <w:szCs w:val="24"/>
        </w:rPr>
        <w:t xml:space="preserve"> NEC </w:t>
      </w:r>
      <w:r w:rsidR="00612A55">
        <w:rPr>
          <w:rFonts w:ascii="Arial" w:eastAsia="Times New Roman" w:hAnsi="Arial" w:cs="Arial"/>
          <w:szCs w:val="24"/>
        </w:rPr>
        <w:t>to respond to the notice under the ARA by the required c</w:t>
      </w:r>
      <w:r w:rsidR="009443FA">
        <w:rPr>
          <w:rFonts w:ascii="Arial" w:eastAsia="Times New Roman" w:hAnsi="Arial" w:cs="Arial"/>
          <w:szCs w:val="24"/>
        </w:rPr>
        <w:t xml:space="preserve">ommenting </w:t>
      </w:r>
      <w:r w:rsidRPr="00AF1A9E">
        <w:rPr>
          <w:rFonts w:ascii="Arial" w:eastAsia="Times New Roman" w:hAnsi="Arial" w:cs="Arial"/>
          <w:szCs w:val="24"/>
        </w:rPr>
        <w:t>deadline.</w:t>
      </w:r>
    </w:p>
    <w:p w14:paraId="1D34DFA0" w14:textId="77777777" w:rsidR="00AF1A9E" w:rsidRPr="00AF1A9E" w:rsidRDefault="00AF1A9E" w:rsidP="00AF1A9E">
      <w:pPr>
        <w:tabs>
          <w:tab w:val="left" w:pos="-720"/>
        </w:tabs>
        <w:suppressAutoHyphens/>
        <w:spacing w:after="0"/>
        <w:rPr>
          <w:rFonts w:ascii="Arial" w:eastAsia="Times New Roman" w:hAnsi="Arial" w:cs="Arial"/>
          <w:szCs w:val="24"/>
          <w:u w:val="single"/>
        </w:rPr>
      </w:pPr>
    </w:p>
    <w:p w14:paraId="1073B5D9" w14:textId="77777777" w:rsidR="00AF1A9E" w:rsidRPr="00AF1A9E" w:rsidRDefault="00AF1A9E" w:rsidP="00AF1A9E">
      <w:pPr>
        <w:tabs>
          <w:tab w:val="left" w:pos="-720"/>
        </w:tabs>
        <w:suppressAutoHyphens/>
        <w:spacing w:after="0"/>
        <w:rPr>
          <w:rFonts w:ascii="Arial" w:eastAsia="Times New Roman" w:hAnsi="Arial" w:cs="Arial"/>
          <w:b/>
          <w:szCs w:val="24"/>
        </w:rPr>
      </w:pPr>
      <w:r w:rsidRPr="00AF1A9E">
        <w:rPr>
          <w:rFonts w:ascii="Arial" w:eastAsia="Times New Roman" w:hAnsi="Arial" w:cs="Arial"/>
          <w:b/>
          <w:szCs w:val="24"/>
        </w:rPr>
        <w:t>BACKGROUND:</w:t>
      </w:r>
    </w:p>
    <w:p w14:paraId="42140C91" w14:textId="77777777" w:rsidR="00AF1A9E" w:rsidRPr="00AF1A9E" w:rsidRDefault="00AF1A9E" w:rsidP="00AF1A9E">
      <w:pPr>
        <w:tabs>
          <w:tab w:val="left" w:pos="-720"/>
        </w:tabs>
        <w:suppressAutoHyphens/>
        <w:spacing w:after="0"/>
        <w:rPr>
          <w:rFonts w:eastAsia="Times New Roman" w:cstheme="minorHAnsi"/>
          <w:color w:val="000000" w:themeColor="text2"/>
          <w:szCs w:val="24"/>
          <w:shd w:val="clear" w:color="auto" w:fill="FFFFFF"/>
        </w:rPr>
      </w:pPr>
    </w:p>
    <w:p w14:paraId="1632DC23" w14:textId="3B875E82" w:rsidR="00AF1A9E" w:rsidRDefault="00AF1A9E" w:rsidP="00AF1A9E">
      <w:pPr>
        <w:tabs>
          <w:tab w:val="left" w:pos="-720"/>
        </w:tabs>
        <w:suppressAutoHyphens/>
        <w:spacing w:after="0"/>
        <w:rPr>
          <w:rFonts w:eastAsia="Times New Roman" w:cstheme="minorHAnsi"/>
          <w:color w:val="4D4D4D"/>
          <w:szCs w:val="24"/>
          <w:shd w:val="clear" w:color="auto" w:fill="FFFFFF"/>
        </w:rPr>
      </w:pPr>
      <w:r w:rsidRPr="00AF1A9E">
        <w:rPr>
          <w:rFonts w:eastAsia="Times New Roman" w:cstheme="minorHAnsi"/>
          <w:color w:val="000000" w:themeColor="text2"/>
          <w:szCs w:val="24"/>
          <w:shd w:val="clear" w:color="auto" w:fill="FFFFFF"/>
        </w:rPr>
        <w:t xml:space="preserve">The extraction of aggregate from a pit or quarry on private land designated by regulation, in the Province of Ontario, requires the issuance of a licence. Ontario Regulation 244/97 under the ARA and </w:t>
      </w:r>
      <w:r w:rsidR="00612A55">
        <w:rPr>
          <w:rFonts w:eastAsia="Times New Roman" w:cstheme="minorHAnsi"/>
          <w:color w:val="000000" w:themeColor="text2"/>
          <w:szCs w:val="24"/>
          <w:shd w:val="clear" w:color="auto" w:fill="FFFFFF"/>
        </w:rPr>
        <w:t xml:space="preserve">subject to </w:t>
      </w:r>
      <w:r w:rsidRPr="00AF1A9E">
        <w:rPr>
          <w:rFonts w:eastAsia="Times New Roman" w:cstheme="minorHAnsi"/>
          <w:color w:val="000000" w:themeColor="text2"/>
          <w:szCs w:val="24"/>
          <w:shd w:val="clear" w:color="auto" w:fill="FFFFFF"/>
        </w:rPr>
        <w:t>the Aggregate Resources of Ontario Standards</w:t>
      </w:r>
      <w:r w:rsidR="00612A55">
        <w:rPr>
          <w:rFonts w:eastAsia="Times New Roman" w:cstheme="minorHAnsi"/>
          <w:color w:val="000000" w:themeColor="text2"/>
          <w:szCs w:val="24"/>
          <w:shd w:val="clear" w:color="auto" w:fill="FFFFFF"/>
        </w:rPr>
        <w:t xml:space="preserve"> that </w:t>
      </w:r>
      <w:r w:rsidRPr="00AF1A9E">
        <w:rPr>
          <w:rFonts w:eastAsia="Times New Roman" w:cstheme="minorHAnsi"/>
          <w:color w:val="000000" w:themeColor="text2"/>
          <w:szCs w:val="24"/>
          <w:shd w:val="clear" w:color="auto" w:fill="FFFFFF"/>
        </w:rPr>
        <w:t>set</w:t>
      </w:r>
      <w:r w:rsidR="00612A55">
        <w:rPr>
          <w:rFonts w:eastAsia="Times New Roman" w:cstheme="minorHAnsi"/>
          <w:color w:val="000000" w:themeColor="text2"/>
          <w:szCs w:val="24"/>
          <w:shd w:val="clear" w:color="auto" w:fill="FFFFFF"/>
        </w:rPr>
        <w:t>s</w:t>
      </w:r>
      <w:r w:rsidRPr="00AF1A9E">
        <w:rPr>
          <w:rFonts w:eastAsia="Times New Roman" w:cstheme="minorHAnsi"/>
          <w:color w:val="000000" w:themeColor="text2"/>
          <w:szCs w:val="24"/>
          <w:shd w:val="clear" w:color="auto" w:fill="FFFFFF"/>
        </w:rPr>
        <w:t xml:space="preserve"> out the application process and requirements</w:t>
      </w:r>
      <w:r w:rsidRPr="00AF1A9E">
        <w:rPr>
          <w:rFonts w:eastAsia="Times New Roman" w:cstheme="minorHAnsi"/>
          <w:color w:val="4D4D4D"/>
          <w:szCs w:val="24"/>
          <w:shd w:val="clear" w:color="auto" w:fill="FFFFFF"/>
        </w:rPr>
        <w:t>.</w:t>
      </w:r>
    </w:p>
    <w:p w14:paraId="53416CD4" w14:textId="77777777" w:rsidR="00612A55" w:rsidRPr="00AF1A9E" w:rsidRDefault="00612A55" w:rsidP="00AF1A9E">
      <w:pPr>
        <w:tabs>
          <w:tab w:val="left" w:pos="-720"/>
        </w:tabs>
        <w:suppressAutoHyphens/>
        <w:spacing w:after="0"/>
        <w:rPr>
          <w:rFonts w:eastAsia="Times New Roman" w:cstheme="minorHAnsi"/>
          <w:szCs w:val="24"/>
        </w:rPr>
      </w:pPr>
    </w:p>
    <w:p w14:paraId="3833ECCD" w14:textId="68890F62" w:rsidR="00AF1A9E" w:rsidRDefault="00AF1A9E" w:rsidP="00AF1A9E">
      <w:pPr>
        <w:shd w:val="clear" w:color="auto" w:fill="FFFFFF"/>
        <w:spacing w:after="0"/>
        <w:rPr>
          <w:rFonts w:eastAsia="Times New Roman" w:cstheme="minorHAnsi"/>
          <w:color w:val="000000" w:themeColor="text2"/>
          <w:szCs w:val="24"/>
          <w:lang w:eastAsia="en-CA"/>
        </w:rPr>
      </w:pPr>
      <w:r w:rsidRPr="00AF1A9E">
        <w:rPr>
          <w:rFonts w:eastAsia="Times New Roman" w:cstheme="minorHAnsi"/>
          <w:color w:val="000000" w:themeColor="text2"/>
          <w:szCs w:val="24"/>
          <w:lang w:eastAsia="en-CA"/>
        </w:rPr>
        <w:t>Dufferin Aggregates, a division of CRH Canada Group Inc.</w:t>
      </w:r>
      <w:r w:rsidR="00D339F0">
        <w:rPr>
          <w:rFonts w:eastAsia="Times New Roman" w:cstheme="minorHAnsi"/>
          <w:color w:val="000000" w:themeColor="text2"/>
          <w:szCs w:val="24"/>
          <w:lang w:eastAsia="en-CA"/>
        </w:rPr>
        <w:t>,</w:t>
      </w:r>
      <w:r w:rsidRPr="00AF1A9E">
        <w:rPr>
          <w:rFonts w:eastAsia="Times New Roman" w:cstheme="minorHAnsi"/>
          <w:color w:val="000000" w:themeColor="text2"/>
          <w:szCs w:val="24"/>
          <w:lang w:eastAsia="en-CA"/>
        </w:rPr>
        <w:t xml:space="preserve"> has applied for a Class A licence, Quarry Below Water, to excavate aggregate from a quarry on the above noted subject lands. The licenced area is proposed to be approximately 30.2 hectares in size with a proposed extraction area of 15.9 hectares. The ARA application is for an </w:t>
      </w:r>
      <w:r w:rsidRPr="00AF1A9E">
        <w:rPr>
          <w:rFonts w:eastAsia="Times New Roman" w:cstheme="minorHAnsi"/>
          <w:color w:val="000000" w:themeColor="text2"/>
          <w:szCs w:val="24"/>
          <w:lang w:eastAsia="en-CA"/>
        </w:rPr>
        <w:lastRenderedPageBreak/>
        <w:t>expansion to the existing ARA licence (No. 608621). The annual tonnage condition applied for is unlimited.</w:t>
      </w:r>
    </w:p>
    <w:p w14:paraId="5DCABFFD" w14:textId="77777777" w:rsidR="00AF1A9E" w:rsidRPr="00AF1A9E" w:rsidRDefault="00AF1A9E" w:rsidP="00AF1A9E">
      <w:pPr>
        <w:shd w:val="clear" w:color="auto" w:fill="FFFFFF"/>
        <w:spacing w:after="0"/>
        <w:rPr>
          <w:rFonts w:eastAsia="Times New Roman" w:cstheme="minorHAnsi"/>
          <w:color w:val="000000" w:themeColor="text2"/>
          <w:szCs w:val="24"/>
          <w:lang w:eastAsia="en-CA"/>
        </w:rPr>
      </w:pPr>
    </w:p>
    <w:p w14:paraId="7CC9D706" w14:textId="6D202007" w:rsidR="00AF1A9E" w:rsidRDefault="00AF1A9E" w:rsidP="00AF1A9E">
      <w:pPr>
        <w:tabs>
          <w:tab w:val="left" w:pos="-720"/>
        </w:tabs>
        <w:suppressAutoHyphens/>
        <w:spacing w:after="0"/>
        <w:rPr>
          <w:rFonts w:ascii="Arial" w:eastAsia="Times New Roman" w:hAnsi="Arial" w:cs="Arial"/>
          <w:szCs w:val="24"/>
        </w:rPr>
      </w:pPr>
      <w:r w:rsidRPr="00AF1A9E">
        <w:rPr>
          <w:rFonts w:eastAsia="Times New Roman" w:cstheme="minorHAnsi"/>
          <w:color w:val="1A1A1A"/>
          <w:szCs w:val="24"/>
          <w:shd w:val="clear" w:color="auto" w:fill="FFFFFF"/>
        </w:rPr>
        <w:t xml:space="preserve">The consultation period under the ARA, and consistent with the Aggregate Resources of Ontario Circulation Standards, begins when the public notice and agency circulation are complete, and the </w:t>
      </w:r>
      <w:r w:rsidR="00682C5B">
        <w:rPr>
          <w:rFonts w:eastAsia="Times New Roman" w:cstheme="minorHAnsi"/>
          <w:color w:val="1A1A1A"/>
          <w:szCs w:val="24"/>
          <w:shd w:val="clear" w:color="auto" w:fill="FFFFFF"/>
        </w:rPr>
        <w:t xml:space="preserve">commenting </w:t>
      </w:r>
      <w:r w:rsidRPr="00AF1A9E">
        <w:rPr>
          <w:rFonts w:eastAsia="Times New Roman" w:cstheme="minorHAnsi"/>
          <w:color w:val="1A1A1A"/>
          <w:szCs w:val="24"/>
          <w:shd w:val="clear" w:color="auto" w:fill="FFFFFF"/>
        </w:rPr>
        <w:t>period lasts for 60 days.</w:t>
      </w:r>
      <w:r w:rsidRPr="00AF1A9E">
        <w:rPr>
          <w:rFonts w:ascii="Open Sans" w:eastAsia="Times New Roman" w:hAnsi="Open Sans" w:cs="Open Sans"/>
          <w:color w:val="1A1A1A"/>
          <w:sz w:val="20"/>
          <w:szCs w:val="20"/>
          <w:shd w:val="clear" w:color="auto" w:fill="FFFFFF"/>
        </w:rPr>
        <w:t xml:space="preserve"> </w:t>
      </w:r>
      <w:r w:rsidR="00682C5B">
        <w:rPr>
          <w:rFonts w:ascii="Arial" w:eastAsia="Times New Roman" w:hAnsi="Arial" w:cs="Arial"/>
          <w:szCs w:val="24"/>
        </w:rPr>
        <w:t xml:space="preserve">NEC Staff received notice of the ARA licence application for the </w:t>
      </w:r>
      <w:r w:rsidR="00682C5B" w:rsidRPr="00AF1A9E">
        <w:rPr>
          <w:rFonts w:ascii="Arial" w:eastAsia="Times New Roman" w:hAnsi="Arial" w:cs="Arial"/>
          <w:szCs w:val="24"/>
        </w:rPr>
        <w:t>Dufferin Milton Quarry East Expansion</w:t>
      </w:r>
      <w:r w:rsidR="00682C5B">
        <w:rPr>
          <w:rFonts w:ascii="Arial" w:eastAsia="Times New Roman" w:hAnsi="Arial" w:cs="Arial"/>
          <w:szCs w:val="24"/>
        </w:rPr>
        <w:t xml:space="preserve"> and </w:t>
      </w:r>
      <w:r w:rsidRPr="00AF1A9E">
        <w:rPr>
          <w:rFonts w:ascii="Arial" w:eastAsia="Times New Roman" w:hAnsi="Arial" w:cs="Arial"/>
          <w:szCs w:val="24"/>
        </w:rPr>
        <w:t>commence</w:t>
      </w:r>
      <w:r w:rsidR="00682C5B">
        <w:rPr>
          <w:rFonts w:ascii="Arial" w:eastAsia="Times New Roman" w:hAnsi="Arial" w:cs="Arial"/>
          <w:szCs w:val="24"/>
        </w:rPr>
        <w:t xml:space="preserve">ment of </w:t>
      </w:r>
      <w:r w:rsidRPr="00AF1A9E">
        <w:rPr>
          <w:rFonts w:ascii="Arial" w:eastAsia="Times New Roman" w:hAnsi="Arial" w:cs="Arial"/>
          <w:szCs w:val="24"/>
        </w:rPr>
        <w:t xml:space="preserve">the 60-day ARA notice period </w:t>
      </w:r>
      <w:r w:rsidR="00682C5B">
        <w:rPr>
          <w:rFonts w:ascii="Arial" w:eastAsia="Times New Roman" w:hAnsi="Arial" w:cs="Arial"/>
          <w:szCs w:val="24"/>
        </w:rPr>
        <w:t>on March 4, 2021</w:t>
      </w:r>
      <w:r w:rsidRPr="00AF1A9E">
        <w:rPr>
          <w:rFonts w:ascii="Arial" w:eastAsia="Times New Roman" w:hAnsi="Arial" w:cs="Arial"/>
          <w:szCs w:val="24"/>
        </w:rPr>
        <w:t xml:space="preserve">.  A notice has </w:t>
      </w:r>
      <w:r w:rsidR="000C4065">
        <w:rPr>
          <w:rFonts w:ascii="Arial" w:eastAsia="Times New Roman" w:hAnsi="Arial" w:cs="Arial"/>
          <w:szCs w:val="24"/>
        </w:rPr>
        <w:t xml:space="preserve">also </w:t>
      </w:r>
      <w:r w:rsidRPr="00AF1A9E">
        <w:rPr>
          <w:rFonts w:ascii="Arial" w:eastAsia="Times New Roman" w:hAnsi="Arial" w:cs="Arial"/>
          <w:szCs w:val="24"/>
        </w:rPr>
        <w:t xml:space="preserve">been posted on the Environmental Registry. The NEC must advise the MNDMNRF </w:t>
      </w:r>
      <w:r w:rsidR="006D13D0" w:rsidRPr="00AF1A9E">
        <w:rPr>
          <w:rFonts w:ascii="Arial" w:eastAsia="Times New Roman" w:hAnsi="Arial" w:cs="Arial"/>
          <w:szCs w:val="24"/>
        </w:rPr>
        <w:t>whether it objects to the licence</w:t>
      </w:r>
      <w:r w:rsidR="006D13D0">
        <w:rPr>
          <w:rFonts w:ascii="Arial" w:eastAsia="Times New Roman" w:hAnsi="Arial" w:cs="Arial"/>
          <w:szCs w:val="24"/>
        </w:rPr>
        <w:t xml:space="preserve"> </w:t>
      </w:r>
      <w:r w:rsidRPr="00AF1A9E">
        <w:rPr>
          <w:rFonts w:ascii="Arial" w:eastAsia="Times New Roman" w:hAnsi="Arial" w:cs="Arial"/>
          <w:szCs w:val="24"/>
        </w:rPr>
        <w:t xml:space="preserve">on or before May 9, </w:t>
      </w:r>
      <w:r w:rsidR="006D13D0" w:rsidRPr="00AF1A9E">
        <w:rPr>
          <w:rFonts w:ascii="Arial" w:eastAsia="Times New Roman" w:hAnsi="Arial" w:cs="Arial"/>
          <w:szCs w:val="24"/>
        </w:rPr>
        <w:t>2022</w:t>
      </w:r>
      <w:r w:rsidR="006D13D0">
        <w:rPr>
          <w:rFonts w:ascii="Arial" w:eastAsia="Times New Roman" w:hAnsi="Arial" w:cs="Arial"/>
          <w:szCs w:val="24"/>
        </w:rPr>
        <w:t>.</w:t>
      </w:r>
      <w:r w:rsidRPr="00AF1A9E">
        <w:rPr>
          <w:rFonts w:ascii="Arial" w:eastAsia="Times New Roman" w:hAnsi="Arial" w:cs="Arial"/>
          <w:szCs w:val="24"/>
        </w:rPr>
        <w:t xml:space="preserve"> </w:t>
      </w:r>
      <w:r w:rsidR="007D6188">
        <w:rPr>
          <w:rFonts w:ascii="Arial" w:eastAsia="Times New Roman" w:hAnsi="Arial" w:cs="Arial"/>
          <w:szCs w:val="24"/>
        </w:rPr>
        <w:t xml:space="preserve">Dufferin then has two years to respond to comments received and resolve objector concerns. Following the ARA process, if there are still outstanding objectors, the matter will be referred to the Ontario Land Tribunal for a Hearing. </w:t>
      </w:r>
    </w:p>
    <w:p w14:paraId="664AF218" w14:textId="3C4AA1DD" w:rsidR="00AF1A9E" w:rsidRDefault="00AF1A9E" w:rsidP="00AF1A9E">
      <w:pPr>
        <w:tabs>
          <w:tab w:val="left" w:pos="-720"/>
        </w:tabs>
        <w:suppressAutoHyphens/>
        <w:spacing w:after="0"/>
        <w:rPr>
          <w:rFonts w:ascii="Arial" w:eastAsia="Times New Roman" w:hAnsi="Arial" w:cs="Arial"/>
          <w:szCs w:val="24"/>
        </w:rPr>
      </w:pPr>
    </w:p>
    <w:p w14:paraId="643678BB" w14:textId="77777777" w:rsidR="00AF1A9E" w:rsidRPr="00AF1A9E" w:rsidRDefault="00AF1A9E" w:rsidP="00AF1A9E">
      <w:pPr>
        <w:tabs>
          <w:tab w:val="left" w:pos="-720"/>
        </w:tabs>
        <w:suppressAutoHyphens/>
        <w:spacing w:after="0"/>
        <w:rPr>
          <w:rFonts w:ascii="Arial" w:eastAsia="Times New Roman" w:hAnsi="Arial" w:cs="Arial"/>
          <w:b/>
          <w:szCs w:val="24"/>
        </w:rPr>
      </w:pPr>
      <w:r w:rsidRPr="00AF1A9E">
        <w:rPr>
          <w:rFonts w:ascii="Arial" w:eastAsia="Times New Roman" w:hAnsi="Arial" w:cs="Arial"/>
          <w:b/>
          <w:szCs w:val="24"/>
        </w:rPr>
        <w:t xml:space="preserve">DISCUSSION: </w:t>
      </w:r>
    </w:p>
    <w:p w14:paraId="18C27AFF" w14:textId="77777777" w:rsidR="00AF1A9E" w:rsidRPr="00AF1A9E" w:rsidRDefault="00AF1A9E" w:rsidP="00AF1A9E">
      <w:pPr>
        <w:tabs>
          <w:tab w:val="left" w:pos="-720"/>
        </w:tabs>
        <w:suppressAutoHyphens/>
        <w:spacing w:after="0"/>
        <w:rPr>
          <w:rFonts w:ascii="Arial" w:eastAsia="Times New Roman" w:hAnsi="Arial" w:cs="Arial"/>
          <w:b/>
          <w:szCs w:val="24"/>
        </w:rPr>
      </w:pPr>
    </w:p>
    <w:p w14:paraId="77F5530A" w14:textId="1147622B" w:rsidR="00AF1A9E" w:rsidRPr="00AF1A9E" w:rsidRDefault="00AF1A9E" w:rsidP="0092548C">
      <w:pPr>
        <w:tabs>
          <w:tab w:val="left" w:pos="-720"/>
        </w:tabs>
        <w:suppressAutoHyphens/>
        <w:spacing w:after="0"/>
        <w:rPr>
          <w:rFonts w:ascii="Arial" w:eastAsia="Times New Roman" w:hAnsi="Arial" w:cs="Arial"/>
          <w:szCs w:val="24"/>
        </w:rPr>
      </w:pPr>
      <w:r w:rsidRPr="00AF1A9E">
        <w:rPr>
          <w:rFonts w:ascii="Arial" w:eastAsia="Times New Roman" w:hAnsi="Arial" w:cs="Arial"/>
          <w:szCs w:val="24"/>
        </w:rPr>
        <w:t xml:space="preserve">NEC staff is a member of the Halton Region Joint Aggregate Review Team (JART) for the Dufferin Milton Quarry East Expansion proposal.  Peer review consultants are </w:t>
      </w:r>
      <w:r w:rsidR="006E6D05">
        <w:rPr>
          <w:rFonts w:ascii="Arial" w:eastAsia="Times New Roman" w:hAnsi="Arial" w:cs="Arial"/>
          <w:szCs w:val="24"/>
        </w:rPr>
        <w:t xml:space="preserve">in the process of </w:t>
      </w:r>
      <w:r w:rsidRPr="00AF1A9E">
        <w:rPr>
          <w:rFonts w:ascii="Arial" w:eastAsia="Times New Roman" w:hAnsi="Arial" w:cs="Arial"/>
          <w:szCs w:val="24"/>
        </w:rPr>
        <w:t xml:space="preserve">reviewing </w:t>
      </w:r>
      <w:r w:rsidR="00723D9A">
        <w:rPr>
          <w:rFonts w:ascii="Arial" w:eastAsia="Times New Roman" w:hAnsi="Arial" w:cs="Arial"/>
          <w:szCs w:val="24"/>
        </w:rPr>
        <w:t>the</w:t>
      </w:r>
      <w:r w:rsidR="006E6D05">
        <w:rPr>
          <w:rFonts w:ascii="Arial" w:eastAsia="Times New Roman" w:hAnsi="Arial" w:cs="Arial"/>
          <w:szCs w:val="24"/>
        </w:rPr>
        <w:t xml:space="preserve"> </w:t>
      </w:r>
      <w:r w:rsidRPr="00AF1A9E">
        <w:rPr>
          <w:rFonts w:ascii="Arial" w:eastAsia="Times New Roman" w:hAnsi="Arial" w:cs="Arial"/>
          <w:szCs w:val="24"/>
        </w:rPr>
        <w:t xml:space="preserve">supporting technical submissions </w:t>
      </w:r>
      <w:r w:rsidR="006E6D05">
        <w:rPr>
          <w:rFonts w:ascii="Arial" w:eastAsia="Times New Roman" w:hAnsi="Arial" w:cs="Arial"/>
          <w:szCs w:val="24"/>
        </w:rPr>
        <w:t>and will be providing</w:t>
      </w:r>
      <w:r w:rsidRPr="00AF1A9E">
        <w:rPr>
          <w:rFonts w:ascii="Arial" w:eastAsia="Times New Roman" w:hAnsi="Arial" w:cs="Arial"/>
          <w:szCs w:val="24"/>
        </w:rPr>
        <w:t xml:space="preserve"> initial comments and questions to </w:t>
      </w:r>
      <w:r w:rsidR="006E6D05">
        <w:rPr>
          <w:rFonts w:ascii="Arial" w:eastAsia="Times New Roman" w:hAnsi="Arial" w:cs="Arial"/>
          <w:szCs w:val="24"/>
        </w:rPr>
        <w:t>the applicant</w:t>
      </w:r>
      <w:r w:rsidR="00723D9A">
        <w:rPr>
          <w:rFonts w:ascii="Arial" w:eastAsia="Times New Roman" w:hAnsi="Arial" w:cs="Arial"/>
          <w:szCs w:val="24"/>
        </w:rPr>
        <w:t xml:space="preserve"> in the near future</w:t>
      </w:r>
      <w:r w:rsidRPr="00AF1A9E">
        <w:rPr>
          <w:rFonts w:ascii="Arial" w:eastAsia="Times New Roman" w:hAnsi="Arial" w:cs="Arial"/>
          <w:szCs w:val="24"/>
        </w:rPr>
        <w:t xml:space="preserve">.  </w:t>
      </w:r>
      <w:r w:rsidR="006E6D05" w:rsidRPr="00AF1A9E">
        <w:rPr>
          <w:rFonts w:ascii="Arial" w:eastAsia="Times New Roman" w:hAnsi="Arial" w:cs="Arial"/>
          <w:szCs w:val="24"/>
        </w:rPr>
        <w:t xml:space="preserve">Further meetings of </w:t>
      </w:r>
      <w:r w:rsidR="006E6D05">
        <w:rPr>
          <w:rFonts w:ascii="Arial" w:eastAsia="Times New Roman" w:hAnsi="Arial" w:cs="Arial"/>
          <w:szCs w:val="24"/>
        </w:rPr>
        <w:t xml:space="preserve">the </w:t>
      </w:r>
      <w:r w:rsidR="006E6D05" w:rsidRPr="00AF1A9E">
        <w:rPr>
          <w:rFonts w:ascii="Arial" w:eastAsia="Times New Roman" w:hAnsi="Arial" w:cs="Arial"/>
          <w:szCs w:val="24"/>
        </w:rPr>
        <w:t>JART, its subcommittees and Dufferin and their consultants will be scheduled to discuss the technical submissions</w:t>
      </w:r>
      <w:r w:rsidR="00723D9A">
        <w:rPr>
          <w:rFonts w:ascii="Arial" w:eastAsia="Times New Roman" w:hAnsi="Arial" w:cs="Arial"/>
          <w:szCs w:val="24"/>
        </w:rPr>
        <w:t>, including matters outlined in the ARA objection letter.</w:t>
      </w:r>
    </w:p>
    <w:p w14:paraId="197F8EA3" w14:textId="77777777" w:rsidR="00AF1A9E" w:rsidRPr="00AF1A9E" w:rsidRDefault="00AF1A9E" w:rsidP="0092548C">
      <w:pPr>
        <w:tabs>
          <w:tab w:val="left" w:pos="-720"/>
        </w:tabs>
        <w:suppressAutoHyphens/>
        <w:spacing w:after="0"/>
        <w:rPr>
          <w:rFonts w:ascii="Arial" w:eastAsia="Times New Roman" w:hAnsi="Arial" w:cs="Arial"/>
          <w:szCs w:val="24"/>
        </w:rPr>
      </w:pPr>
    </w:p>
    <w:p w14:paraId="4D8FBB30" w14:textId="2F58E41E" w:rsidR="00AF1A9E" w:rsidRPr="00AF1A9E" w:rsidRDefault="00AF1A9E" w:rsidP="0092548C">
      <w:pPr>
        <w:tabs>
          <w:tab w:val="left" w:pos="-720"/>
        </w:tabs>
        <w:suppressAutoHyphens/>
        <w:spacing w:after="0"/>
        <w:rPr>
          <w:rFonts w:ascii="Arial" w:eastAsia="Times New Roman" w:hAnsi="Arial" w:cs="Arial"/>
          <w:szCs w:val="24"/>
        </w:rPr>
      </w:pPr>
      <w:r w:rsidRPr="00AF1A9E">
        <w:rPr>
          <w:rFonts w:ascii="Arial" w:eastAsia="Times New Roman" w:hAnsi="Arial" w:cs="Arial"/>
          <w:szCs w:val="24"/>
        </w:rPr>
        <w:t xml:space="preserve">A </w:t>
      </w:r>
      <w:r w:rsidR="000C4065">
        <w:rPr>
          <w:rFonts w:ascii="Arial" w:eastAsia="Times New Roman" w:hAnsi="Arial" w:cs="Arial"/>
          <w:szCs w:val="24"/>
        </w:rPr>
        <w:t xml:space="preserve">virtual </w:t>
      </w:r>
      <w:r w:rsidRPr="00AF1A9E">
        <w:rPr>
          <w:rFonts w:ascii="Arial" w:eastAsia="Times New Roman" w:hAnsi="Arial" w:cs="Arial"/>
          <w:szCs w:val="24"/>
        </w:rPr>
        <w:t>Public Information Centre (PIC) was held by Dufferin on April 7, 2022.</w:t>
      </w:r>
      <w:r w:rsidR="000C4065">
        <w:rPr>
          <w:rFonts w:ascii="Arial" w:eastAsia="Times New Roman" w:hAnsi="Arial" w:cs="Arial"/>
          <w:szCs w:val="24"/>
        </w:rPr>
        <w:t xml:space="preserve"> </w:t>
      </w:r>
      <w:r w:rsidR="006D3A76">
        <w:rPr>
          <w:rFonts w:ascii="Arial" w:eastAsia="Times New Roman" w:hAnsi="Arial" w:cs="Arial"/>
          <w:szCs w:val="24"/>
        </w:rPr>
        <w:t xml:space="preserve">One </w:t>
      </w:r>
      <w:r w:rsidR="000C4065">
        <w:rPr>
          <w:rFonts w:ascii="Arial" w:eastAsia="Times New Roman" w:hAnsi="Arial" w:cs="Arial"/>
          <w:szCs w:val="24"/>
        </w:rPr>
        <w:t>member of the public w</w:t>
      </w:r>
      <w:r w:rsidR="006D3A76">
        <w:rPr>
          <w:rFonts w:ascii="Arial" w:eastAsia="Times New Roman" w:hAnsi="Arial" w:cs="Arial"/>
          <w:szCs w:val="24"/>
        </w:rPr>
        <w:t>as</w:t>
      </w:r>
      <w:r w:rsidR="000C4065">
        <w:rPr>
          <w:rFonts w:ascii="Arial" w:eastAsia="Times New Roman" w:hAnsi="Arial" w:cs="Arial"/>
          <w:szCs w:val="24"/>
        </w:rPr>
        <w:t xml:space="preserve"> in attendance.</w:t>
      </w:r>
      <w:r w:rsidRPr="00AF1A9E">
        <w:rPr>
          <w:rFonts w:ascii="Arial" w:eastAsia="Times New Roman" w:hAnsi="Arial" w:cs="Arial"/>
          <w:szCs w:val="24"/>
        </w:rPr>
        <w:t xml:space="preserve"> Staff attended the meeting as an observer</w:t>
      </w:r>
      <w:r w:rsidR="00D339F0">
        <w:rPr>
          <w:rFonts w:ascii="Arial" w:eastAsia="Times New Roman" w:hAnsi="Arial" w:cs="Arial"/>
          <w:szCs w:val="24"/>
        </w:rPr>
        <w:t>.</w:t>
      </w:r>
    </w:p>
    <w:p w14:paraId="1E0CEE37" w14:textId="77777777" w:rsidR="00AF1A9E" w:rsidRPr="00AF1A9E" w:rsidRDefault="00AF1A9E" w:rsidP="0092548C">
      <w:pPr>
        <w:tabs>
          <w:tab w:val="left" w:pos="-720"/>
        </w:tabs>
        <w:suppressAutoHyphens/>
        <w:spacing w:after="0"/>
        <w:rPr>
          <w:rFonts w:ascii="Arial" w:eastAsia="Times New Roman" w:hAnsi="Arial" w:cs="Arial"/>
          <w:szCs w:val="24"/>
        </w:rPr>
      </w:pPr>
    </w:p>
    <w:p w14:paraId="197C2658" w14:textId="62F883C3" w:rsidR="00AF1A9E" w:rsidRPr="00AF1A9E" w:rsidRDefault="00AF1A9E" w:rsidP="0092548C">
      <w:pPr>
        <w:tabs>
          <w:tab w:val="left" w:pos="-720"/>
        </w:tabs>
        <w:suppressAutoHyphens/>
        <w:spacing w:after="0"/>
        <w:rPr>
          <w:rFonts w:ascii="Arial" w:eastAsia="Times New Roman" w:hAnsi="Arial" w:cs="Arial"/>
          <w:szCs w:val="24"/>
        </w:rPr>
      </w:pPr>
      <w:r w:rsidRPr="00AF1A9E">
        <w:rPr>
          <w:rFonts w:ascii="Arial" w:eastAsia="Times New Roman" w:hAnsi="Arial" w:cs="Arial"/>
          <w:szCs w:val="24"/>
        </w:rPr>
        <w:t xml:space="preserve">Staff recommends that the NEC submit </w:t>
      </w:r>
      <w:r w:rsidR="006E6D05">
        <w:rPr>
          <w:rFonts w:ascii="Arial" w:eastAsia="Times New Roman" w:hAnsi="Arial" w:cs="Arial"/>
          <w:szCs w:val="24"/>
        </w:rPr>
        <w:t xml:space="preserve">the attached </w:t>
      </w:r>
      <w:r w:rsidRPr="00AF1A9E">
        <w:rPr>
          <w:rFonts w:ascii="Arial" w:eastAsia="Times New Roman" w:hAnsi="Arial" w:cs="Arial"/>
          <w:szCs w:val="24"/>
        </w:rPr>
        <w:t>letter</w:t>
      </w:r>
      <w:r w:rsidR="00240C26">
        <w:rPr>
          <w:rFonts w:ascii="Arial" w:eastAsia="Times New Roman" w:hAnsi="Arial" w:cs="Arial"/>
          <w:szCs w:val="24"/>
        </w:rPr>
        <w:t xml:space="preserve"> from the Chair,</w:t>
      </w:r>
      <w:r w:rsidRPr="00AF1A9E">
        <w:rPr>
          <w:rFonts w:ascii="Arial" w:eastAsia="Times New Roman" w:hAnsi="Arial" w:cs="Arial"/>
          <w:szCs w:val="24"/>
        </w:rPr>
        <w:t xml:space="preserve"> </w:t>
      </w:r>
      <w:r w:rsidR="006E6D05">
        <w:rPr>
          <w:rFonts w:ascii="Arial" w:eastAsia="Times New Roman" w:hAnsi="Arial" w:cs="Arial"/>
          <w:szCs w:val="24"/>
        </w:rPr>
        <w:t>in response to the ARA notification</w:t>
      </w:r>
      <w:r w:rsidR="00240C26">
        <w:rPr>
          <w:rFonts w:ascii="Arial" w:eastAsia="Times New Roman" w:hAnsi="Arial" w:cs="Arial"/>
          <w:szCs w:val="24"/>
        </w:rPr>
        <w:t xml:space="preserve"> to inform</w:t>
      </w:r>
      <w:r w:rsidRPr="00AF1A9E">
        <w:rPr>
          <w:rFonts w:ascii="Arial" w:eastAsia="Times New Roman" w:hAnsi="Arial" w:cs="Arial"/>
          <w:szCs w:val="24"/>
        </w:rPr>
        <w:t xml:space="preserve"> the MNDMNRF and the applicant that the NEC objects </w:t>
      </w:r>
      <w:r w:rsidR="00D339F0" w:rsidRPr="00AF1A9E">
        <w:rPr>
          <w:rFonts w:ascii="Arial" w:eastAsia="Times New Roman" w:hAnsi="Arial" w:cs="Arial"/>
          <w:szCs w:val="24"/>
        </w:rPr>
        <w:t xml:space="preserve">to Dufferin’s application </w:t>
      </w:r>
      <w:r w:rsidRPr="00AF1A9E">
        <w:rPr>
          <w:rFonts w:ascii="Arial" w:eastAsia="Times New Roman" w:hAnsi="Arial" w:cs="Arial"/>
          <w:szCs w:val="24"/>
        </w:rPr>
        <w:t>at the present time</w:t>
      </w:r>
      <w:r w:rsidR="00D339F0">
        <w:rPr>
          <w:rFonts w:ascii="Arial" w:eastAsia="Times New Roman" w:hAnsi="Arial" w:cs="Arial"/>
          <w:szCs w:val="24"/>
        </w:rPr>
        <w:t>,</w:t>
      </w:r>
      <w:r w:rsidRPr="00AF1A9E">
        <w:rPr>
          <w:rFonts w:ascii="Arial" w:eastAsia="Times New Roman" w:hAnsi="Arial" w:cs="Arial"/>
          <w:szCs w:val="24"/>
        </w:rPr>
        <w:t xml:space="preserve"> for the </w:t>
      </w:r>
      <w:r w:rsidR="00903C11">
        <w:rPr>
          <w:rFonts w:ascii="Arial" w:eastAsia="Times New Roman" w:hAnsi="Arial" w:cs="Arial"/>
          <w:szCs w:val="24"/>
        </w:rPr>
        <w:t xml:space="preserve">reasons outlined in the attached letter, </w:t>
      </w:r>
      <w:r w:rsidR="006E6D05">
        <w:rPr>
          <w:rFonts w:ascii="Arial" w:eastAsia="Times New Roman" w:hAnsi="Arial" w:cs="Arial"/>
          <w:szCs w:val="24"/>
        </w:rPr>
        <w:t>summarized</w:t>
      </w:r>
      <w:r w:rsidR="00903C11">
        <w:rPr>
          <w:rFonts w:ascii="Arial" w:eastAsia="Times New Roman" w:hAnsi="Arial" w:cs="Arial"/>
          <w:szCs w:val="24"/>
        </w:rPr>
        <w:t xml:space="preserve"> as follows:</w:t>
      </w:r>
    </w:p>
    <w:p w14:paraId="4AD7C141" w14:textId="77777777" w:rsidR="00AF1A9E" w:rsidRPr="00AF1A9E" w:rsidRDefault="00AF1A9E" w:rsidP="00AF1A9E">
      <w:pPr>
        <w:tabs>
          <w:tab w:val="left" w:pos="-720"/>
        </w:tabs>
        <w:suppressAutoHyphens/>
        <w:spacing w:after="0"/>
        <w:rPr>
          <w:rFonts w:ascii="Arial" w:eastAsia="Times New Roman" w:hAnsi="Arial" w:cs="Arial"/>
          <w:szCs w:val="24"/>
        </w:rPr>
      </w:pPr>
    </w:p>
    <w:p w14:paraId="521DB8CC" w14:textId="7A8047C5" w:rsidR="00AF1A9E" w:rsidRPr="00AF1A9E" w:rsidRDefault="00AF1A9E" w:rsidP="00AF1A9E">
      <w:pPr>
        <w:numPr>
          <w:ilvl w:val="0"/>
          <w:numId w:val="11"/>
        </w:numPr>
        <w:tabs>
          <w:tab w:val="left" w:pos="-720"/>
        </w:tabs>
        <w:suppressAutoHyphens/>
        <w:spacing w:after="0"/>
        <w:rPr>
          <w:rFonts w:ascii="Arial" w:eastAsia="Times New Roman" w:hAnsi="Arial" w:cs="Arial"/>
          <w:szCs w:val="24"/>
        </w:rPr>
      </w:pPr>
      <w:r w:rsidRPr="00AF1A9E">
        <w:rPr>
          <w:rFonts w:ascii="Arial" w:eastAsia="Times New Roman" w:hAnsi="Arial" w:cs="Arial"/>
          <w:szCs w:val="24"/>
        </w:rPr>
        <w:t xml:space="preserve">The JART process is still </w:t>
      </w:r>
      <w:r w:rsidR="006E6D05" w:rsidRPr="00AF1A9E">
        <w:rPr>
          <w:rFonts w:ascii="Arial" w:eastAsia="Times New Roman" w:hAnsi="Arial" w:cs="Arial"/>
          <w:szCs w:val="24"/>
        </w:rPr>
        <w:t>underway,</w:t>
      </w:r>
      <w:r w:rsidRPr="00AF1A9E">
        <w:rPr>
          <w:rFonts w:ascii="Arial" w:eastAsia="Times New Roman" w:hAnsi="Arial" w:cs="Arial"/>
          <w:szCs w:val="24"/>
        </w:rPr>
        <w:t xml:space="preserve"> and the NEC would be in a better position to make a </w:t>
      </w:r>
      <w:r w:rsidR="00285F14">
        <w:rPr>
          <w:rFonts w:ascii="Arial" w:eastAsia="Times New Roman" w:hAnsi="Arial" w:cs="Arial"/>
          <w:szCs w:val="24"/>
        </w:rPr>
        <w:t>recommendation</w:t>
      </w:r>
      <w:r w:rsidRPr="00AF1A9E">
        <w:rPr>
          <w:rFonts w:ascii="Arial" w:eastAsia="Times New Roman" w:hAnsi="Arial" w:cs="Arial"/>
          <w:szCs w:val="24"/>
        </w:rPr>
        <w:t xml:space="preserve"> on </w:t>
      </w:r>
      <w:r w:rsidR="00240C26">
        <w:rPr>
          <w:rFonts w:ascii="Arial" w:eastAsia="Times New Roman" w:hAnsi="Arial" w:cs="Arial"/>
          <w:szCs w:val="24"/>
        </w:rPr>
        <w:t xml:space="preserve">the </w:t>
      </w:r>
      <w:r w:rsidR="00285F14">
        <w:rPr>
          <w:rFonts w:ascii="Arial" w:eastAsia="Times New Roman" w:hAnsi="Arial" w:cs="Arial"/>
          <w:szCs w:val="24"/>
        </w:rPr>
        <w:t>ARA application</w:t>
      </w:r>
      <w:r w:rsidRPr="00AF1A9E">
        <w:rPr>
          <w:rFonts w:ascii="Arial" w:eastAsia="Times New Roman" w:hAnsi="Arial" w:cs="Arial"/>
          <w:szCs w:val="24"/>
        </w:rPr>
        <w:t xml:space="preserve"> with the benefit of the </w:t>
      </w:r>
      <w:r w:rsidR="00240C26">
        <w:rPr>
          <w:rFonts w:ascii="Arial" w:eastAsia="Times New Roman" w:hAnsi="Arial" w:cs="Arial"/>
          <w:szCs w:val="24"/>
        </w:rPr>
        <w:t>t</w:t>
      </w:r>
      <w:r w:rsidR="00240C26" w:rsidRPr="00AF1A9E">
        <w:rPr>
          <w:rFonts w:ascii="Arial" w:eastAsia="Times New Roman" w:hAnsi="Arial" w:cs="Arial"/>
          <w:szCs w:val="24"/>
        </w:rPr>
        <w:t xml:space="preserve">he Peer Reviewer conclusions </w:t>
      </w:r>
      <w:r w:rsidR="00240C26">
        <w:rPr>
          <w:rFonts w:ascii="Arial" w:eastAsia="Times New Roman" w:hAnsi="Arial" w:cs="Arial"/>
          <w:szCs w:val="24"/>
        </w:rPr>
        <w:t xml:space="preserve">and final </w:t>
      </w:r>
      <w:r w:rsidRPr="00AF1A9E">
        <w:rPr>
          <w:rFonts w:ascii="Arial" w:eastAsia="Times New Roman" w:hAnsi="Arial" w:cs="Arial"/>
          <w:szCs w:val="24"/>
        </w:rPr>
        <w:t xml:space="preserve">JART </w:t>
      </w:r>
      <w:r w:rsidR="00285F14">
        <w:rPr>
          <w:rFonts w:ascii="Arial" w:eastAsia="Times New Roman" w:hAnsi="Arial" w:cs="Arial"/>
          <w:szCs w:val="24"/>
        </w:rPr>
        <w:t>R</w:t>
      </w:r>
      <w:r w:rsidRPr="00AF1A9E">
        <w:rPr>
          <w:rFonts w:ascii="Arial" w:eastAsia="Times New Roman" w:hAnsi="Arial" w:cs="Arial"/>
          <w:szCs w:val="24"/>
        </w:rPr>
        <w:t>eport.</w:t>
      </w:r>
    </w:p>
    <w:p w14:paraId="1FE0DD9D" w14:textId="33A2BF6E" w:rsidR="00AF1A9E" w:rsidRDefault="00AF1A9E" w:rsidP="00AF1A9E">
      <w:pPr>
        <w:numPr>
          <w:ilvl w:val="0"/>
          <w:numId w:val="11"/>
        </w:numPr>
        <w:tabs>
          <w:tab w:val="left" w:pos="-720"/>
        </w:tabs>
        <w:suppressAutoHyphens/>
        <w:spacing w:after="0"/>
        <w:rPr>
          <w:rFonts w:ascii="Arial" w:eastAsia="Times New Roman" w:hAnsi="Arial" w:cs="Arial"/>
          <w:szCs w:val="24"/>
        </w:rPr>
      </w:pPr>
      <w:bookmarkStart w:id="0" w:name="_Hlk100230927"/>
      <w:r w:rsidRPr="00AF1A9E">
        <w:rPr>
          <w:rFonts w:ascii="Arial" w:eastAsia="Times New Roman" w:hAnsi="Arial" w:cs="Arial"/>
          <w:szCs w:val="24"/>
        </w:rPr>
        <w:t>NEC staff requires the agency comments that are obtained through the NEC circulation and request for comments on the proposed NEP amendment. Including</w:t>
      </w:r>
      <w:r w:rsidR="00285F14">
        <w:rPr>
          <w:rFonts w:ascii="Arial" w:eastAsia="Times New Roman" w:hAnsi="Arial" w:cs="Arial"/>
          <w:szCs w:val="24"/>
        </w:rPr>
        <w:t>, but not limited to</w:t>
      </w:r>
      <w:r w:rsidRPr="00AF1A9E">
        <w:rPr>
          <w:rFonts w:ascii="Arial" w:eastAsia="Times New Roman" w:hAnsi="Arial" w:cs="Arial"/>
          <w:szCs w:val="24"/>
        </w:rPr>
        <w:t xml:space="preserve"> consultation with the Ministry of Environment, Conservation and Parks (MECP) regarding </w:t>
      </w:r>
      <w:r w:rsidR="00240C26">
        <w:rPr>
          <w:rFonts w:ascii="Arial" w:eastAsia="Times New Roman" w:hAnsi="Arial" w:cs="Arial"/>
          <w:szCs w:val="24"/>
        </w:rPr>
        <w:t>Species at Risk matters.</w:t>
      </w:r>
    </w:p>
    <w:p w14:paraId="10A28DA1" w14:textId="730601DD" w:rsidR="00AF1A9E" w:rsidRPr="00AF1A9E" w:rsidRDefault="00AA7019" w:rsidP="00AA7019">
      <w:pPr>
        <w:numPr>
          <w:ilvl w:val="0"/>
          <w:numId w:val="11"/>
        </w:numPr>
        <w:tabs>
          <w:tab w:val="left" w:pos="-720"/>
        </w:tabs>
        <w:suppressAutoHyphens/>
        <w:spacing w:after="0"/>
        <w:rPr>
          <w:rFonts w:ascii="Arial" w:eastAsia="Times New Roman" w:hAnsi="Arial" w:cs="Arial"/>
          <w:szCs w:val="24"/>
        </w:rPr>
      </w:pPr>
      <w:r>
        <w:t xml:space="preserve">NEC </w:t>
      </w:r>
      <w:r w:rsidR="00240C26">
        <w:t>s</w:t>
      </w:r>
      <w:r>
        <w:t xml:space="preserve">taff have undertaken a preliminary review of the extensive technical documents and studies submitted in support of the </w:t>
      </w:r>
      <w:r w:rsidRPr="00AA7019">
        <w:rPr>
          <w:i/>
          <w:iCs/>
        </w:rPr>
        <w:t>ARA</w:t>
      </w:r>
      <w:r>
        <w:t xml:space="preserve">, </w:t>
      </w:r>
      <w:r w:rsidRPr="005E15D6">
        <w:rPr>
          <w:i/>
          <w:iCs/>
        </w:rPr>
        <w:t>N</w:t>
      </w:r>
      <w:r w:rsidR="005E15D6" w:rsidRPr="005E15D6">
        <w:rPr>
          <w:i/>
          <w:iCs/>
        </w:rPr>
        <w:t xml:space="preserve">iagara </w:t>
      </w:r>
      <w:r w:rsidRPr="005E15D6">
        <w:rPr>
          <w:i/>
          <w:iCs/>
        </w:rPr>
        <w:t>E</w:t>
      </w:r>
      <w:r w:rsidR="005E15D6" w:rsidRPr="005E15D6">
        <w:rPr>
          <w:i/>
          <w:iCs/>
        </w:rPr>
        <w:t xml:space="preserve">scarpment </w:t>
      </w:r>
      <w:r w:rsidRPr="005E15D6">
        <w:rPr>
          <w:i/>
          <w:iCs/>
        </w:rPr>
        <w:lastRenderedPageBreak/>
        <w:t>P</w:t>
      </w:r>
      <w:r w:rsidR="005E15D6" w:rsidRPr="005E15D6">
        <w:rPr>
          <w:i/>
          <w:iCs/>
        </w:rPr>
        <w:t>lanning and Development Act</w:t>
      </w:r>
      <w:r w:rsidR="005E15D6">
        <w:t xml:space="preserve"> (NEPDA)</w:t>
      </w:r>
      <w:r>
        <w:t xml:space="preserve"> and </w:t>
      </w:r>
      <w:r w:rsidRPr="00AA7019">
        <w:rPr>
          <w:i/>
          <w:iCs/>
        </w:rPr>
        <w:t>Planning Act</w:t>
      </w:r>
      <w:r>
        <w:t xml:space="preserve"> </w:t>
      </w:r>
      <w:r w:rsidR="00BD4381">
        <w:t>applications and</w:t>
      </w:r>
      <w:r>
        <w:t xml:space="preserve"> ha</w:t>
      </w:r>
      <w:r w:rsidR="00240C26">
        <w:t>s</w:t>
      </w:r>
      <w:r>
        <w:t xml:space="preserve"> identified potential NEP conformity issues and areas which require further clarification </w:t>
      </w:r>
      <w:r w:rsidR="005E15D6">
        <w:t xml:space="preserve">and response </w:t>
      </w:r>
      <w:r>
        <w:t>from the proponent</w:t>
      </w:r>
      <w:r w:rsidR="005E15D6">
        <w:t>,</w:t>
      </w:r>
      <w:r>
        <w:t xml:space="preserve"> and discussions with subject matter experts</w:t>
      </w:r>
      <w:r w:rsidR="00240C26">
        <w:t>. Issues identified include but are not</w:t>
      </w:r>
      <w:r>
        <w:t xml:space="preserve"> limited </w:t>
      </w:r>
      <w:r w:rsidR="00BD4381">
        <w:t>to:</w:t>
      </w:r>
      <w:r>
        <w:t xml:space="preserve"> natural heritage (buffers key features, sufficiency of investigations</w:t>
      </w:r>
      <w:r w:rsidR="00240C26">
        <w:t>, conclusions respecting impacts</w:t>
      </w:r>
      <w:r w:rsidR="00BE0FDA">
        <w:t>, baseline conditions</w:t>
      </w:r>
      <w:r w:rsidR="00240C26">
        <w:t>)</w:t>
      </w:r>
      <w:r>
        <w:t xml:space="preserve">, </w:t>
      </w:r>
      <w:r w:rsidR="003F2C82">
        <w:t xml:space="preserve">cumulative impacts, </w:t>
      </w:r>
      <w:r>
        <w:t>water resources, geology and hazards, cultural heritage and visual impacts</w:t>
      </w:r>
      <w:r w:rsidR="00240C26">
        <w:t>.</w:t>
      </w:r>
    </w:p>
    <w:bookmarkEnd w:id="0"/>
    <w:p w14:paraId="472018CD" w14:textId="1F6A62D9" w:rsidR="00AF1A9E" w:rsidRPr="00AF1A9E" w:rsidRDefault="00AF1A9E" w:rsidP="00AF1A9E">
      <w:pPr>
        <w:numPr>
          <w:ilvl w:val="0"/>
          <w:numId w:val="11"/>
        </w:numPr>
        <w:tabs>
          <w:tab w:val="left" w:pos="-720"/>
        </w:tabs>
        <w:suppressAutoHyphens/>
        <w:spacing w:after="0"/>
        <w:rPr>
          <w:rFonts w:ascii="Arial" w:eastAsia="Times New Roman" w:hAnsi="Arial" w:cs="Arial"/>
          <w:szCs w:val="24"/>
        </w:rPr>
      </w:pPr>
      <w:r w:rsidRPr="00AF1A9E">
        <w:rPr>
          <w:rFonts w:ascii="Arial" w:eastAsia="Times New Roman" w:hAnsi="Arial" w:cs="Arial"/>
          <w:szCs w:val="24"/>
        </w:rPr>
        <w:t xml:space="preserve">The ARA licence should not be approved until all the stakeholders have taken a position on the related </w:t>
      </w:r>
      <w:r w:rsidRPr="00AF1A9E">
        <w:rPr>
          <w:rFonts w:ascii="Arial" w:eastAsia="Times New Roman" w:hAnsi="Arial" w:cs="Arial"/>
          <w:i/>
          <w:szCs w:val="24"/>
        </w:rPr>
        <w:t>Planning Act</w:t>
      </w:r>
      <w:r w:rsidRPr="00AF1A9E">
        <w:rPr>
          <w:rFonts w:ascii="Arial" w:eastAsia="Times New Roman" w:hAnsi="Arial" w:cs="Arial"/>
          <w:szCs w:val="24"/>
        </w:rPr>
        <w:t xml:space="preserve"> and </w:t>
      </w:r>
      <w:r w:rsidR="00240C26" w:rsidRPr="00240C26">
        <w:rPr>
          <w:rFonts w:ascii="Arial" w:eastAsia="Times New Roman" w:hAnsi="Arial" w:cs="Arial"/>
          <w:iCs/>
          <w:szCs w:val="24"/>
        </w:rPr>
        <w:t>NEPDA</w:t>
      </w:r>
      <w:r w:rsidR="00240C26">
        <w:rPr>
          <w:rFonts w:ascii="Arial" w:eastAsia="Times New Roman" w:hAnsi="Arial" w:cs="Arial"/>
          <w:i/>
          <w:szCs w:val="24"/>
        </w:rPr>
        <w:t xml:space="preserve"> </w:t>
      </w:r>
      <w:r w:rsidRPr="00AF1A9E">
        <w:rPr>
          <w:rFonts w:ascii="Arial" w:eastAsia="Times New Roman" w:hAnsi="Arial" w:cs="Arial"/>
          <w:szCs w:val="24"/>
        </w:rPr>
        <w:t>applications.</w:t>
      </w:r>
    </w:p>
    <w:p w14:paraId="35645CF8" w14:textId="77777777" w:rsidR="00AF1A9E" w:rsidRPr="00AF1A9E" w:rsidRDefault="00AF1A9E" w:rsidP="00AF1A9E">
      <w:pPr>
        <w:tabs>
          <w:tab w:val="left" w:pos="-720"/>
        </w:tabs>
        <w:suppressAutoHyphens/>
        <w:spacing w:after="0"/>
        <w:ind w:left="720"/>
        <w:rPr>
          <w:rFonts w:ascii="Arial" w:eastAsia="Times New Roman" w:hAnsi="Arial" w:cs="Arial"/>
          <w:szCs w:val="24"/>
        </w:rPr>
      </w:pPr>
    </w:p>
    <w:p w14:paraId="664F7088" w14:textId="77777777" w:rsidR="00AF1A9E" w:rsidRPr="00AF1A9E" w:rsidRDefault="00AF1A9E" w:rsidP="00AF1A9E">
      <w:pPr>
        <w:tabs>
          <w:tab w:val="left" w:pos="-720"/>
        </w:tabs>
        <w:suppressAutoHyphens/>
        <w:spacing w:after="0"/>
        <w:rPr>
          <w:rFonts w:ascii="Arial" w:eastAsia="Times New Roman" w:hAnsi="Arial" w:cs="Arial"/>
          <w:b/>
          <w:szCs w:val="24"/>
        </w:rPr>
      </w:pPr>
      <w:r w:rsidRPr="00AF1A9E">
        <w:rPr>
          <w:rFonts w:ascii="Arial" w:eastAsia="Times New Roman" w:hAnsi="Arial" w:cs="Arial"/>
          <w:b/>
          <w:szCs w:val="24"/>
        </w:rPr>
        <w:t>RECOMMENDATION:</w:t>
      </w:r>
    </w:p>
    <w:p w14:paraId="109CF477" w14:textId="77777777" w:rsidR="00AF1A9E" w:rsidRPr="00AF1A9E" w:rsidRDefault="00AF1A9E" w:rsidP="00AF1A9E">
      <w:pPr>
        <w:tabs>
          <w:tab w:val="left" w:pos="-720"/>
        </w:tabs>
        <w:suppressAutoHyphens/>
        <w:spacing w:after="0" w:line="240" w:lineRule="auto"/>
        <w:rPr>
          <w:rFonts w:ascii="Arial" w:eastAsia="Times New Roman" w:hAnsi="Arial" w:cs="Arial"/>
          <w:szCs w:val="24"/>
        </w:rPr>
      </w:pPr>
    </w:p>
    <w:p w14:paraId="705B31A6" w14:textId="6B8FC695" w:rsidR="00AF1A9E" w:rsidRPr="00AF1A9E" w:rsidRDefault="00AF1A9E" w:rsidP="00A92D7D">
      <w:pPr>
        <w:tabs>
          <w:tab w:val="left" w:pos="-720"/>
        </w:tabs>
        <w:suppressAutoHyphens/>
        <w:spacing w:after="0"/>
        <w:rPr>
          <w:rFonts w:ascii="Arial" w:eastAsia="Times New Roman" w:hAnsi="Arial" w:cs="Arial"/>
          <w:szCs w:val="24"/>
        </w:rPr>
      </w:pPr>
      <w:r w:rsidRPr="00AF1A9E">
        <w:rPr>
          <w:rFonts w:ascii="Arial" w:eastAsia="Times New Roman" w:hAnsi="Arial" w:cs="Arial"/>
          <w:szCs w:val="24"/>
        </w:rPr>
        <w:t xml:space="preserve">NEC staff recommends that the Commission adopt this Report and </w:t>
      </w:r>
      <w:r w:rsidR="00BD4381">
        <w:rPr>
          <w:rFonts w:ascii="Arial" w:eastAsia="Times New Roman" w:hAnsi="Arial" w:cs="Arial"/>
          <w:szCs w:val="24"/>
        </w:rPr>
        <w:t>forward</w:t>
      </w:r>
      <w:r w:rsidRPr="00AF1A9E">
        <w:rPr>
          <w:rFonts w:ascii="Arial" w:eastAsia="Times New Roman" w:hAnsi="Arial" w:cs="Arial"/>
          <w:szCs w:val="24"/>
        </w:rPr>
        <w:t xml:space="preserve"> the attached letter signed by the Chair to the </w:t>
      </w:r>
      <w:r w:rsidR="00BD4381">
        <w:rPr>
          <w:rFonts w:ascii="Arial" w:eastAsia="Times New Roman" w:hAnsi="Arial" w:cs="Arial"/>
          <w:szCs w:val="24"/>
        </w:rPr>
        <w:t xml:space="preserve">MNDMNRF </w:t>
      </w:r>
      <w:r w:rsidRPr="00AF1A9E">
        <w:rPr>
          <w:rFonts w:ascii="Arial" w:eastAsia="Times New Roman" w:hAnsi="Arial" w:cs="Arial"/>
          <w:szCs w:val="24"/>
        </w:rPr>
        <w:t>and Dufferin Aggregates, indicating</w:t>
      </w:r>
      <w:r w:rsidR="00A92D7D">
        <w:rPr>
          <w:rFonts w:ascii="Arial" w:eastAsia="Times New Roman" w:hAnsi="Arial" w:cs="Arial"/>
          <w:szCs w:val="24"/>
        </w:rPr>
        <w:t xml:space="preserve"> </w:t>
      </w:r>
      <w:r w:rsidR="00240C26">
        <w:rPr>
          <w:rFonts w:ascii="Arial" w:eastAsia="Times New Roman" w:hAnsi="Arial" w:cs="Arial"/>
          <w:szCs w:val="24"/>
        </w:rPr>
        <w:t xml:space="preserve">the </w:t>
      </w:r>
      <w:r w:rsidR="00A92D7D">
        <w:rPr>
          <w:rFonts w:ascii="Arial" w:eastAsia="Times New Roman" w:hAnsi="Arial" w:cs="Arial"/>
          <w:szCs w:val="24"/>
        </w:rPr>
        <w:t>NEC’s</w:t>
      </w:r>
      <w:r w:rsidRPr="00AF1A9E">
        <w:rPr>
          <w:rFonts w:ascii="Arial" w:eastAsia="Times New Roman" w:hAnsi="Arial" w:cs="Arial"/>
          <w:szCs w:val="24"/>
        </w:rPr>
        <w:t xml:space="preserve"> objection to the </w:t>
      </w:r>
      <w:r w:rsidR="00240C26">
        <w:rPr>
          <w:rFonts w:ascii="Arial" w:eastAsia="Times New Roman" w:hAnsi="Arial" w:cs="Arial"/>
          <w:szCs w:val="24"/>
        </w:rPr>
        <w:t xml:space="preserve">ARA </w:t>
      </w:r>
      <w:r w:rsidRPr="00AF1A9E">
        <w:rPr>
          <w:rFonts w:ascii="Arial" w:eastAsia="Times New Roman" w:hAnsi="Arial" w:cs="Arial"/>
          <w:szCs w:val="24"/>
        </w:rPr>
        <w:t xml:space="preserve">licence application for the expansion of the Dufferin </w:t>
      </w:r>
      <w:r w:rsidR="00285F14">
        <w:rPr>
          <w:rFonts w:ascii="Arial" w:eastAsia="Times New Roman" w:hAnsi="Arial" w:cs="Arial"/>
          <w:szCs w:val="24"/>
        </w:rPr>
        <w:t>Milton Quarry East Expansion</w:t>
      </w:r>
      <w:r w:rsidRPr="00AF1A9E">
        <w:rPr>
          <w:rFonts w:ascii="Arial" w:eastAsia="Times New Roman" w:hAnsi="Arial" w:cs="Arial"/>
          <w:szCs w:val="24"/>
        </w:rPr>
        <w:t xml:space="preserve">. </w:t>
      </w:r>
    </w:p>
    <w:p w14:paraId="758CA4E3" w14:textId="77777777" w:rsidR="00AF1A9E" w:rsidRPr="00AF1A9E" w:rsidRDefault="00AF1A9E" w:rsidP="00AF1A9E">
      <w:pPr>
        <w:tabs>
          <w:tab w:val="left" w:pos="-720"/>
        </w:tabs>
        <w:suppressAutoHyphens/>
        <w:spacing w:after="0" w:line="240" w:lineRule="auto"/>
        <w:rPr>
          <w:rFonts w:ascii="Arial" w:eastAsia="Times New Roman" w:hAnsi="Arial" w:cs="Arial"/>
          <w:szCs w:val="24"/>
        </w:rPr>
      </w:pPr>
    </w:p>
    <w:p w14:paraId="285B07B2" w14:textId="77777777" w:rsidR="00AF1A9E" w:rsidRPr="00AF1A9E" w:rsidRDefault="00AF1A9E" w:rsidP="00AF1A9E">
      <w:pPr>
        <w:tabs>
          <w:tab w:val="left" w:pos="-720"/>
        </w:tabs>
        <w:suppressAutoHyphens/>
        <w:spacing w:after="0" w:line="240" w:lineRule="auto"/>
        <w:rPr>
          <w:rFonts w:ascii="Arial" w:eastAsia="Times New Roman" w:hAnsi="Arial" w:cs="Arial"/>
          <w:szCs w:val="24"/>
        </w:rPr>
      </w:pPr>
    </w:p>
    <w:p w14:paraId="4742EE70" w14:textId="521DF66C" w:rsidR="00AF1A9E" w:rsidRPr="00AF1A9E" w:rsidRDefault="00AF1A9E" w:rsidP="00AF1A9E">
      <w:pPr>
        <w:tabs>
          <w:tab w:val="left" w:pos="-720"/>
        </w:tabs>
        <w:suppressAutoHyphens/>
        <w:spacing w:after="0" w:line="240" w:lineRule="auto"/>
        <w:rPr>
          <w:rFonts w:ascii="Arial" w:eastAsia="Times New Roman" w:hAnsi="Arial" w:cs="Arial"/>
          <w:b/>
          <w:bCs/>
          <w:szCs w:val="24"/>
        </w:rPr>
      </w:pPr>
      <w:r w:rsidRPr="00AF1A9E">
        <w:rPr>
          <w:rFonts w:ascii="Arial" w:eastAsia="Times New Roman" w:hAnsi="Arial" w:cs="Arial"/>
          <w:b/>
          <w:bCs/>
          <w:szCs w:val="24"/>
        </w:rPr>
        <w:t>Prepared by:</w:t>
      </w:r>
      <w:r w:rsidRPr="00AF1A9E">
        <w:rPr>
          <w:rFonts w:ascii="Arial" w:eastAsia="Times New Roman" w:hAnsi="Arial" w:cs="Arial"/>
          <w:b/>
          <w:bCs/>
          <w:szCs w:val="24"/>
        </w:rPr>
        <w:tab/>
      </w:r>
      <w:r w:rsidRPr="00AF1A9E">
        <w:rPr>
          <w:rFonts w:ascii="Arial" w:eastAsia="Times New Roman" w:hAnsi="Arial" w:cs="Arial"/>
          <w:b/>
          <w:bCs/>
          <w:szCs w:val="24"/>
        </w:rPr>
        <w:tab/>
      </w:r>
      <w:r w:rsidRPr="00AF1A9E">
        <w:rPr>
          <w:rFonts w:ascii="Arial" w:eastAsia="Times New Roman" w:hAnsi="Arial" w:cs="Arial"/>
          <w:b/>
          <w:bCs/>
          <w:szCs w:val="24"/>
        </w:rPr>
        <w:tab/>
      </w:r>
      <w:r w:rsidRPr="00AF1A9E">
        <w:rPr>
          <w:rFonts w:ascii="Arial" w:eastAsia="Times New Roman" w:hAnsi="Arial" w:cs="Arial"/>
          <w:b/>
          <w:bCs/>
          <w:szCs w:val="24"/>
        </w:rPr>
        <w:tab/>
      </w:r>
      <w:r w:rsidRPr="00AF1A9E">
        <w:rPr>
          <w:rFonts w:ascii="Arial" w:eastAsia="Times New Roman" w:hAnsi="Arial" w:cs="Arial"/>
          <w:b/>
          <w:bCs/>
          <w:szCs w:val="24"/>
        </w:rPr>
        <w:tab/>
      </w:r>
      <w:r w:rsidRPr="00AF1A9E">
        <w:rPr>
          <w:rFonts w:ascii="Arial" w:eastAsia="Times New Roman" w:hAnsi="Arial" w:cs="Arial"/>
          <w:b/>
          <w:bCs/>
          <w:szCs w:val="24"/>
        </w:rPr>
        <w:tab/>
        <w:t>Approved by:</w:t>
      </w:r>
    </w:p>
    <w:p w14:paraId="6DC2100F" w14:textId="77777777" w:rsidR="00AF1A9E" w:rsidRPr="00AF1A9E" w:rsidRDefault="00AF1A9E" w:rsidP="00AF1A9E">
      <w:pPr>
        <w:tabs>
          <w:tab w:val="left" w:pos="-720"/>
        </w:tabs>
        <w:suppressAutoHyphens/>
        <w:spacing w:after="0" w:line="240" w:lineRule="auto"/>
        <w:rPr>
          <w:rFonts w:ascii="Arial" w:eastAsia="Times New Roman" w:hAnsi="Arial" w:cs="Arial"/>
          <w:szCs w:val="24"/>
        </w:rPr>
      </w:pPr>
    </w:p>
    <w:p w14:paraId="34B9A732" w14:textId="11C7C3A2" w:rsidR="00AF1A9E" w:rsidRDefault="005D48CF" w:rsidP="00AF1A9E">
      <w:pPr>
        <w:tabs>
          <w:tab w:val="left" w:pos="-720"/>
        </w:tabs>
        <w:suppressAutoHyphens/>
        <w:spacing w:after="0" w:line="240" w:lineRule="auto"/>
        <w:rPr>
          <w:noProof/>
        </w:rPr>
      </w:pPr>
      <w:r>
        <w:rPr>
          <w:noProof/>
        </w:rPr>
        <w:t>ORIGINAL SIGNED BY:</w:t>
      </w:r>
      <w:r>
        <w:rPr>
          <w:noProof/>
        </w:rPr>
        <w:tab/>
      </w:r>
      <w:r>
        <w:rPr>
          <w:noProof/>
        </w:rPr>
        <w:tab/>
      </w:r>
      <w:r>
        <w:rPr>
          <w:noProof/>
        </w:rPr>
        <w:tab/>
      </w:r>
      <w:r>
        <w:rPr>
          <w:noProof/>
        </w:rPr>
        <w:tab/>
      </w:r>
      <w:r>
        <w:rPr>
          <w:noProof/>
        </w:rPr>
        <w:tab/>
        <w:t>ORIGINAL SIGNED BY:</w:t>
      </w:r>
    </w:p>
    <w:p w14:paraId="56A5F54B" w14:textId="77777777" w:rsidR="005D48CF" w:rsidRPr="00AF1A9E" w:rsidRDefault="005D48CF" w:rsidP="00AF1A9E">
      <w:pPr>
        <w:tabs>
          <w:tab w:val="left" w:pos="-720"/>
        </w:tabs>
        <w:suppressAutoHyphens/>
        <w:spacing w:after="0" w:line="240" w:lineRule="auto"/>
        <w:rPr>
          <w:rFonts w:ascii="Arial" w:eastAsia="Times New Roman" w:hAnsi="Arial" w:cs="Arial"/>
          <w:szCs w:val="24"/>
        </w:rPr>
      </w:pPr>
    </w:p>
    <w:p w14:paraId="514FFF1B" w14:textId="77777777" w:rsidR="00AF1A9E" w:rsidRPr="00AF1A9E" w:rsidRDefault="00AF1A9E" w:rsidP="00AF1A9E">
      <w:pPr>
        <w:tabs>
          <w:tab w:val="left" w:pos="-720"/>
        </w:tabs>
        <w:suppressAutoHyphens/>
        <w:spacing w:after="0" w:line="240" w:lineRule="auto"/>
        <w:rPr>
          <w:rFonts w:ascii="Arial" w:eastAsia="Times New Roman" w:hAnsi="Arial" w:cs="Arial"/>
          <w:szCs w:val="24"/>
        </w:rPr>
      </w:pPr>
      <w:r w:rsidRPr="00AF1A9E">
        <w:rPr>
          <w:rFonts w:ascii="Arial" w:eastAsia="Times New Roman" w:hAnsi="Arial" w:cs="Arial"/>
          <w:szCs w:val="24"/>
        </w:rPr>
        <w:t>_______________________</w:t>
      </w:r>
      <w:r w:rsidRPr="00AF1A9E">
        <w:rPr>
          <w:rFonts w:ascii="Arial" w:eastAsia="Times New Roman" w:hAnsi="Arial" w:cs="Arial"/>
          <w:szCs w:val="24"/>
        </w:rPr>
        <w:tab/>
      </w:r>
      <w:r w:rsidRPr="00AF1A9E">
        <w:rPr>
          <w:rFonts w:ascii="Arial" w:eastAsia="Times New Roman" w:hAnsi="Arial" w:cs="Arial"/>
          <w:szCs w:val="24"/>
        </w:rPr>
        <w:tab/>
      </w:r>
      <w:r w:rsidRPr="00AF1A9E">
        <w:rPr>
          <w:rFonts w:ascii="Arial" w:eastAsia="Times New Roman" w:hAnsi="Arial" w:cs="Arial"/>
          <w:szCs w:val="24"/>
        </w:rPr>
        <w:tab/>
      </w:r>
      <w:r w:rsidRPr="00AF1A9E">
        <w:rPr>
          <w:rFonts w:ascii="Arial" w:eastAsia="Times New Roman" w:hAnsi="Arial" w:cs="Arial"/>
          <w:szCs w:val="24"/>
        </w:rPr>
        <w:tab/>
        <w:t>__________________________</w:t>
      </w:r>
    </w:p>
    <w:p w14:paraId="04FA95C4" w14:textId="77777777" w:rsidR="00AF1A9E" w:rsidRPr="00AF1A9E" w:rsidRDefault="00AF1A9E" w:rsidP="00AF1A9E">
      <w:pPr>
        <w:tabs>
          <w:tab w:val="left" w:pos="-720"/>
        </w:tabs>
        <w:suppressAutoHyphens/>
        <w:spacing w:after="0" w:line="240" w:lineRule="auto"/>
        <w:rPr>
          <w:rFonts w:ascii="Arial" w:eastAsia="Times New Roman" w:hAnsi="Arial" w:cs="Arial"/>
          <w:szCs w:val="24"/>
        </w:rPr>
      </w:pPr>
      <w:r w:rsidRPr="00AF1A9E">
        <w:rPr>
          <w:rFonts w:ascii="Arial" w:eastAsia="Times New Roman" w:hAnsi="Arial" w:cs="Arial"/>
          <w:szCs w:val="24"/>
        </w:rPr>
        <w:t>Lisa Grbinicek, MCIP, RPP</w:t>
      </w:r>
      <w:r w:rsidRPr="00AF1A9E">
        <w:rPr>
          <w:rFonts w:ascii="Arial" w:eastAsia="Times New Roman" w:hAnsi="Arial" w:cs="Arial"/>
          <w:szCs w:val="24"/>
        </w:rPr>
        <w:tab/>
      </w:r>
      <w:r w:rsidRPr="00AF1A9E">
        <w:rPr>
          <w:rFonts w:ascii="Arial" w:eastAsia="Times New Roman" w:hAnsi="Arial" w:cs="Arial"/>
          <w:szCs w:val="24"/>
        </w:rPr>
        <w:tab/>
      </w:r>
      <w:r w:rsidRPr="00AF1A9E">
        <w:rPr>
          <w:rFonts w:ascii="Arial" w:eastAsia="Times New Roman" w:hAnsi="Arial" w:cs="Arial"/>
          <w:szCs w:val="24"/>
        </w:rPr>
        <w:tab/>
      </w:r>
      <w:r w:rsidRPr="00AF1A9E">
        <w:rPr>
          <w:rFonts w:ascii="Arial" w:eastAsia="Times New Roman" w:hAnsi="Arial" w:cs="Arial"/>
          <w:szCs w:val="24"/>
        </w:rPr>
        <w:tab/>
        <w:t>John Dungavell</w:t>
      </w:r>
    </w:p>
    <w:p w14:paraId="1C502359" w14:textId="77777777" w:rsidR="00AF1A9E" w:rsidRPr="00AF1A9E" w:rsidRDefault="00AF1A9E" w:rsidP="00AF1A9E">
      <w:pPr>
        <w:tabs>
          <w:tab w:val="left" w:pos="-720"/>
        </w:tabs>
        <w:suppressAutoHyphens/>
        <w:spacing w:after="0" w:line="240" w:lineRule="auto"/>
        <w:rPr>
          <w:rFonts w:ascii="Arial" w:eastAsia="Times New Roman" w:hAnsi="Arial" w:cs="Arial"/>
          <w:szCs w:val="24"/>
        </w:rPr>
      </w:pPr>
      <w:r w:rsidRPr="00AF1A9E">
        <w:rPr>
          <w:rFonts w:ascii="Arial" w:eastAsia="Times New Roman" w:hAnsi="Arial" w:cs="Arial"/>
          <w:szCs w:val="24"/>
        </w:rPr>
        <w:t>Senior Strategic Advisor</w:t>
      </w:r>
      <w:r w:rsidRPr="00AF1A9E">
        <w:rPr>
          <w:rFonts w:ascii="Arial" w:eastAsia="Times New Roman" w:hAnsi="Arial" w:cs="Arial"/>
          <w:szCs w:val="24"/>
        </w:rPr>
        <w:tab/>
      </w:r>
      <w:r w:rsidRPr="00AF1A9E">
        <w:rPr>
          <w:rFonts w:ascii="Arial" w:eastAsia="Times New Roman" w:hAnsi="Arial" w:cs="Arial"/>
          <w:szCs w:val="24"/>
        </w:rPr>
        <w:tab/>
      </w:r>
      <w:r w:rsidRPr="00AF1A9E">
        <w:rPr>
          <w:rFonts w:ascii="Arial" w:eastAsia="Times New Roman" w:hAnsi="Arial" w:cs="Arial"/>
          <w:szCs w:val="24"/>
        </w:rPr>
        <w:tab/>
      </w:r>
      <w:r w:rsidRPr="00AF1A9E">
        <w:rPr>
          <w:rFonts w:ascii="Arial" w:eastAsia="Times New Roman" w:hAnsi="Arial" w:cs="Arial"/>
          <w:szCs w:val="24"/>
        </w:rPr>
        <w:tab/>
      </w:r>
      <w:r w:rsidRPr="00AF1A9E">
        <w:rPr>
          <w:rFonts w:ascii="Arial" w:eastAsia="Times New Roman" w:hAnsi="Arial" w:cs="Arial"/>
          <w:szCs w:val="24"/>
        </w:rPr>
        <w:tab/>
        <w:t>A/Director</w:t>
      </w:r>
    </w:p>
    <w:p w14:paraId="11E8C875" w14:textId="77777777" w:rsidR="0078718D" w:rsidRDefault="0078718D" w:rsidP="0035152F">
      <w:pPr>
        <w:pStyle w:val="Heading2"/>
        <w:jc w:val="center"/>
      </w:pPr>
    </w:p>
    <w:p w14:paraId="64980906" w14:textId="379F1EF2" w:rsidR="0035152F" w:rsidRDefault="0035152F" w:rsidP="00554131">
      <w:pPr>
        <w:spacing w:after="0" w:line="240" w:lineRule="auto"/>
        <w:rPr>
          <w:rFonts w:ascii="Arial" w:eastAsia="Times New Roman" w:hAnsi="Arial" w:cs="Arial"/>
          <w:noProof/>
          <w:szCs w:val="24"/>
        </w:rPr>
      </w:pPr>
    </w:p>
    <w:p w14:paraId="6372E229" w14:textId="3EE3D55C" w:rsidR="001F1895" w:rsidRDefault="001F1895">
      <w:pPr>
        <w:rPr>
          <w:rFonts w:cstheme="minorHAnsi"/>
          <w:b/>
          <w:bCs/>
          <w:lang w:val="en-US"/>
        </w:rPr>
      </w:pPr>
      <w:bookmarkStart w:id="1" w:name="_Hlk70081498"/>
      <w:bookmarkEnd w:id="1"/>
    </w:p>
    <w:sectPr w:rsidR="001F1895" w:rsidSect="007260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E9D9" w14:textId="77777777" w:rsidR="001573BF" w:rsidRDefault="001573BF" w:rsidP="00F72078">
      <w:pPr>
        <w:spacing w:after="0" w:line="240" w:lineRule="auto"/>
      </w:pPr>
      <w:r>
        <w:separator/>
      </w:r>
    </w:p>
  </w:endnote>
  <w:endnote w:type="continuationSeparator" w:id="0">
    <w:p w14:paraId="4C9218E9" w14:textId="77777777" w:rsidR="001573BF" w:rsidRDefault="001573BF"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473E" w14:textId="77777777" w:rsidR="00525B30" w:rsidRDefault="0052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8863" w14:textId="77777777" w:rsidR="001573BF" w:rsidRDefault="001573BF" w:rsidP="00F72078">
      <w:pPr>
        <w:spacing w:after="0" w:line="240" w:lineRule="auto"/>
      </w:pPr>
      <w:r>
        <w:separator/>
      </w:r>
    </w:p>
  </w:footnote>
  <w:footnote w:type="continuationSeparator" w:id="0">
    <w:p w14:paraId="0DD32FB9" w14:textId="77777777" w:rsidR="001573BF" w:rsidRDefault="001573BF"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3316" w14:textId="77777777" w:rsidR="00525B30" w:rsidRDefault="005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6DC3" w14:textId="77777777" w:rsidR="00525B30" w:rsidRDefault="0052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FD36A35"/>
    <w:multiLevelType w:val="hybridMultilevel"/>
    <w:tmpl w:val="2312B490"/>
    <w:lvl w:ilvl="0" w:tplc="AF26DA9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8"/>
  </w:num>
  <w:num w:numId="3">
    <w:abstractNumId w:val="10"/>
  </w:num>
  <w:num w:numId="4">
    <w:abstractNumId w:val="2"/>
  </w:num>
  <w:num w:numId="5">
    <w:abstractNumId w:val="1"/>
  </w:num>
  <w:num w:numId="6">
    <w:abstractNumId w:val="5"/>
  </w:num>
  <w:num w:numId="7">
    <w:abstractNumId w:val="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15665"/>
    <w:rsid w:val="0002340F"/>
    <w:rsid w:val="00035A2C"/>
    <w:rsid w:val="00050B41"/>
    <w:rsid w:val="000872F5"/>
    <w:rsid w:val="000A0119"/>
    <w:rsid w:val="000A1A28"/>
    <w:rsid w:val="000C4065"/>
    <w:rsid w:val="000D3A0A"/>
    <w:rsid w:val="000E249F"/>
    <w:rsid w:val="000F3ED9"/>
    <w:rsid w:val="000F5131"/>
    <w:rsid w:val="000F75BB"/>
    <w:rsid w:val="00110437"/>
    <w:rsid w:val="00115A16"/>
    <w:rsid w:val="001227D9"/>
    <w:rsid w:val="00130AEB"/>
    <w:rsid w:val="001408EF"/>
    <w:rsid w:val="001573BF"/>
    <w:rsid w:val="00194885"/>
    <w:rsid w:val="001A4B64"/>
    <w:rsid w:val="001C37B4"/>
    <w:rsid w:val="001D76A0"/>
    <w:rsid w:val="001F129E"/>
    <w:rsid w:val="001F1895"/>
    <w:rsid w:val="00203E14"/>
    <w:rsid w:val="002135BD"/>
    <w:rsid w:val="00225BE4"/>
    <w:rsid w:val="00227C52"/>
    <w:rsid w:val="00240C26"/>
    <w:rsid w:val="00254BFD"/>
    <w:rsid w:val="00285F14"/>
    <w:rsid w:val="002A1104"/>
    <w:rsid w:val="002B6A43"/>
    <w:rsid w:val="002D5DA5"/>
    <w:rsid w:val="002E6FF6"/>
    <w:rsid w:val="002F129C"/>
    <w:rsid w:val="00304308"/>
    <w:rsid w:val="00317F1F"/>
    <w:rsid w:val="00337798"/>
    <w:rsid w:val="0035152F"/>
    <w:rsid w:val="0036413B"/>
    <w:rsid w:val="00392C66"/>
    <w:rsid w:val="003A1F0D"/>
    <w:rsid w:val="003C544A"/>
    <w:rsid w:val="003F2C82"/>
    <w:rsid w:val="003F3509"/>
    <w:rsid w:val="00404C1A"/>
    <w:rsid w:val="00414A2C"/>
    <w:rsid w:val="00451119"/>
    <w:rsid w:val="00460F29"/>
    <w:rsid w:val="00482248"/>
    <w:rsid w:val="00487378"/>
    <w:rsid w:val="00487ED5"/>
    <w:rsid w:val="004A2238"/>
    <w:rsid w:val="004A392D"/>
    <w:rsid w:val="004B347D"/>
    <w:rsid w:val="004B68E9"/>
    <w:rsid w:val="004B69F7"/>
    <w:rsid w:val="004E6398"/>
    <w:rsid w:val="004F1B03"/>
    <w:rsid w:val="004F20C3"/>
    <w:rsid w:val="0050145F"/>
    <w:rsid w:val="00523E5B"/>
    <w:rsid w:val="00525B30"/>
    <w:rsid w:val="00554131"/>
    <w:rsid w:val="0057735C"/>
    <w:rsid w:val="00593D1C"/>
    <w:rsid w:val="005A5E39"/>
    <w:rsid w:val="005B3FBE"/>
    <w:rsid w:val="005D48CF"/>
    <w:rsid w:val="005E15D6"/>
    <w:rsid w:val="0060350C"/>
    <w:rsid w:val="00612A55"/>
    <w:rsid w:val="00615D58"/>
    <w:rsid w:val="00624B02"/>
    <w:rsid w:val="00666886"/>
    <w:rsid w:val="0067492A"/>
    <w:rsid w:val="00682C5B"/>
    <w:rsid w:val="0069132C"/>
    <w:rsid w:val="00695E04"/>
    <w:rsid w:val="006C7751"/>
    <w:rsid w:val="006D13D0"/>
    <w:rsid w:val="006D1805"/>
    <w:rsid w:val="006D3A76"/>
    <w:rsid w:val="006D5590"/>
    <w:rsid w:val="006D72AA"/>
    <w:rsid w:val="006E32B7"/>
    <w:rsid w:val="006E6D05"/>
    <w:rsid w:val="006F175B"/>
    <w:rsid w:val="006F317B"/>
    <w:rsid w:val="00716C04"/>
    <w:rsid w:val="00723667"/>
    <w:rsid w:val="00723D9A"/>
    <w:rsid w:val="00726084"/>
    <w:rsid w:val="00752BC9"/>
    <w:rsid w:val="00767151"/>
    <w:rsid w:val="007707B1"/>
    <w:rsid w:val="007825FD"/>
    <w:rsid w:val="0078718D"/>
    <w:rsid w:val="00794C32"/>
    <w:rsid w:val="007A22CA"/>
    <w:rsid w:val="007B37E6"/>
    <w:rsid w:val="007D1D4F"/>
    <w:rsid w:val="007D3375"/>
    <w:rsid w:val="007D6188"/>
    <w:rsid w:val="007D6DDD"/>
    <w:rsid w:val="00800F82"/>
    <w:rsid w:val="008259D3"/>
    <w:rsid w:val="008662C0"/>
    <w:rsid w:val="008903C2"/>
    <w:rsid w:val="008E13BD"/>
    <w:rsid w:val="008F30D3"/>
    <w:rsid w:val="00903C11"/>
    <w:rsid w:val="0092416C"/>
    <w:rsid w:val="0092548C"/>
    <w:rsid w:val="00932E74"/>
    <w:rsid w:val="009440D3"/>
    <w:rsid w:val="009443FA"/>
    <w:rsid w:val="009471BD"/>
    <w:rsid w:val="009A2BDA"/>
    <w:rsid w:val="009A71B7"/>
    <w:rsid w:val="009B1D63"/>
    <w:rsid w:val="009B65DE"/>
    <w:rsid w:val="009C08A4"/>
    <w:rsid w:val="009C6422"/>
    <w:rsid w:val="009C6DC6"/>
    <w:rsid w:val="009E5D6E"/>
    <w:rsid w:val="00A10621"/>
    <w:rsid w:val="00A3388F"/>
    <w:rsid w:val="00A44C27"/>
    <w:rsid w:val="00A4736E"/>
    <w:rsid w:val="00A51A42"/>
    <w:rsid w:val="00A84A0A"/>
    <w:rsid w:val="00A92D7D"/>
    <w:rsid w:val="00A963FC"/>
    <w:rsid w:val="00AA6EF3"/>
    <w:rsid w:val="00AA7019"/>
    <w:rsid w:val="00AC2E31"/>
    <w:rsid w:val="00AD6DD9"/>
    <w:rsid w:val="00AD71CE"/>
    <w:rsid w:val="00AE1BAF"/>
    <w:rsid w:val="00AF1A9E"/>
    <w:rsid w:val="00B24B82"/>
    <w:rsid w:val="00B40797"/>
    <w:rsid w:val="00B452CF"/>
    <w:rsid w:val="00B93223"/>
    <w:rsid w:val="00BD4381"/>
    <w:rsid w:val="00BE0FDA"/>
    <w:rsid w:val="00BF0C91"/>
    <w:rsid w:val="00C029AC"/>
    <w:rsid w:val="00C07D93"/>
    <w:rsid w:val="00C11B70"/>
    <w:rsid w:val="00C314F8"/>
    <w:rsid w:val="00C37A46"/>
    <w:rsid w:val="00C442F5"/>
    <w:rsid w:val="00C759C2"/>
    <w:rsid w:val="00C7752A"/>
    <w:rsid w:val="00C90961"/>
    <w:rsid w:val="00C93AB7"/>
    <w:rsid w:val="00CB0B37"/>
    <w:rsid w:val="00CC034D"/>
    <w:rsid w:val="00CD3CFA"/>
    <w:rsid w:val="00CF1378"/>
    <w:rsid w:val="00D033F6"/>
    <w:rsid w:val="00D21797"/>
    <w:rsid w:val="00D339F0"/>
    <w:rsid w:val="00D40A3A"/>
    <w:rsid w:val="00D651C8"/>
    <w:rsid w:val="00D83F89"/>
    <w:rsid w:val="00D851A4"/>
    <w:rsid w:val="00DB4F93"/>
    <w:rsid w:val="00DB6F6F"/>
    <w:rsid w:val="00DD3F56"/>
    <w:rsid w:val="00DD40FE"/>
    <w:rsid w:val="00E062DF"/>
    <w:rsid w:val="00E16EFC"/>
    <w:rsid w:val="00E25B54"/>
    <w:rsid w:val="00E566ED"/>
    <w:rsid w:val="00E57CB5"/>
    <w:rsid w:val="00E60193"/>
    <w:rsid w:val="00E61786"/>
    <w:rsid w:val="00E97AA8"/>
    <w:rsid w:val="00EB5A40"/>
    <w:rsid w:val="00EC4699"/>
    <w:rsid w:val="00F17B57"/>
    <w:rsid w:val="00F446B8"/>
    <w:rsid w:val="00F52C69"/>
    <w:rsid w:val="00F61F85"/>
    <w:rsid w:val="00F665A2"/>
    <w:rsid w:val="00F72078"/>
    <w:rsid w:val="00F85186"/>
    <w:rsid w:val="00FA62DB"/>
    <w:rsid w:val="00FB11EB"/>
    <w:rsid w:val="00FC1189"/>
    <w:rsid w:val="00FE363E"/>
    <w:rsid w:val="00FE62BC"/>
    <w:rsid w:val="00FF28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customXml/itemProps2.xml><?xml version="1.0" encoding="utf-8"?>
<ds:datastoreItem xmlns:ds="http://schemas.openxmlformats.org/officeDocument/2006/customXml" ds:itemID="{ABE0C8A1-941D-4DCF-AD94-D53E2E193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4.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Bochenek, Annemarie (NDMNRF)</cp:lastModifiedBy>
  <cp:revision>2</cp:revision>
  <dcterms:created xsi:type="dcterms:W3CDTF">2022-04-14T16:19:00Z</dcterms:created>
  <dcterms:modified xsi:type="dcterms:W3CDTF">2022-04-14T16:19:00Z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0x01010066B7C8A6783BDE48A0D096D986242705</vt:lpwstr>
  </property>
  <property fmtid="{D5CDD505-2E9C-101B-9397-08002B2CF9AE}" pid="3" name="MSIP_Label_034a106e-6316-442c-ad35-738afd673d2b_Enabled">
    <vt:lpwstr>true</vt:lpwstr>
  </property>
  <property fmtid="{D5CDD505-2E9C-101B-9397-08002B2CF9AE}" pid="4" name="MSIP_Label_034a106e-6316-442c-ad35-738afd673d2b_SetDate">
    <vt:lpwstr>2022-04-07T15:07:47Z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