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6BFD5E1E" w:rsidR="00082994" w:rsidRDefault="005A7F21" w:rsidP="00F61F85">
      <w:pPr>
        <w:rPr>
          <w:rFonts w:cstheme="minorHAnsi"/>
          <w:lang w:val="en-US"/>
        </w:rPr>
      </w:pPr>
      <w:r>
        <w:rPr>
          <w:rFonts w:cstheme="minorHAnsi"/>
          <w:lang w:val="en-US"/>
        </w:rPr>
        <w:t>October 20, 2022</w:t>
      </w:r>
    </w:p>
    <w:p w14:paraId="2F32C8F0" w14:textId="75B8266A" w:rsidR="00554131" w:rsidRPr="0035152F" w:rsidRDefault="00CE16CB" w:rsidP="0035152F">
      <w:pPr>
        <w:pStyle w:val="Heading1"/>
      </w:pPr>
      <w:r>
        <w:t xml:space="preserve">A2: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437E3980" w:rsidR="00554131" w:rsidRPr="0035152F" w:rsidRDefault="00554131" w:rsidP="0035152F">
      <w:pPr>
        <w:pStyle w:val="Heading2"/>
      </w:pPr>
      <w:r>
        <w:t>Development Permit Application:</w:t>
      </w:r>
      <w:r w:rsidR="006D28AA">
        <w:t xml:space="preserve"> </w:t>
      </w:r>
    </w:p>
    <w:p w14:paraId="73372E40" w14:textId="77777777" w:rsidR="00554131" w:rsidRDefault="00554131" w:rsidP="00554131">
      <w:pPr>
        <w:spacing w:after="0" w:line="240" w:lineRule="auto"/>
        <w:rPr>
          <w:rFonts w:ascii="Arial" w:eastAsia="Times New Roman" w:hAnsi="Arial" w:cs="Arial"/>
          <w:b/>
          <w:szCs w:val="24"/>
        </w:rPr>
      </w:pPr>
    </w:p>
    <w:p w14:paraId="7A774B57" w14:textId="580B45B6" w:rsidR="00554131" w:rsidRPr="003F5818" w:rsidRDefault="00DF39F8" w:rsidP="003F5818">
      <w:pPr>
        <w:pStyle w:val="Heading3"/>
      </w:pPr>
      <w:r>
        <w:rPr>
          <w:noProof/>
        </w:rPr>
        <w:t>G/R/2022-2023/025</w:t>
      </w:r>
    </w:p>
    <w:p w14:paraId="342F2122" w14:textId="4D181A61" w:rsidR="00554131" w:rsidRDefault="00616591" w:rsidP="00554131">
      <w:pPr>
        <w:spacing w:after="0" w:line="240" w:lineRule="auto"/>
        <w:rPr>
          <w:rFonts w:ascii="Arial" w:eastAsia="Times New Roman" w:hAnsi="Arial" w:cs="Arial"/>
          <w:noProof/>
          <w:szCs w:val="24"/>
        </w:rPr>
      </w:pPr>
      <w:r>
        <w:rPr>
          <w:rFonts w:ascii="Arial" w:eastAsia="Times New Roman" w:hAnsi="Arial" w:cs="Arial"/>
          <w:noProof/>
          <w:szCs w:val="24"/>
        </w:rPr>
        <w:t>569649 6</w:t>
      </w:r>
      <w:r w:rsidRPr="00616591">
        <w:rPr>
          <w:rFonts w:ascii="Arial" w:eastAsia="Times New Roman" w:hAnsi="Arial" w:cs="Arial"/>
          <w:noProof/>
          <w:szCs w:val="24"/>
          <w:vertAlign w:val="superscript"/>
        </w:rPr>
        <w:t>th</w:t>
      </w:r>
      <w:r>
        <w:rPr>
          <w:rFonts w:ascii="Arial" w:eastAsia="Times New Roman" w:hAnsi="Arial" w:cs="Arial"/>
          <w:noProof/>
          <w:szCs w:val="24"/>
        </w:rPr>
        <w:t xml:space="preserve"> Sideroad</w:t>
      </w:r>
    </w:p>
    <w:p w14:paraId="1547C903" w14:textId="4BF6EBDD" w:rsidR="00C53CC3" w:rsidRDefault="00616591"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Part </w:t>
      </w:r>
      <w:r w:rsidR="00E755F3">
        <w:rPr>
          <w:rFonts w:ascii="Arial" w:eastAsia="Times New Roman" w:hAnsi="Arial" w:cs="Arial"/>
          <w:noProof/>
          <w:szCs w:val="24"/>
        </w:rPr>
        <w:t>Lot</w:t>
      </w:r>
      <w:r>
        <w:rPr>
          <w:rFonts w:ascii="Arial" w:eastAsia="Times New Roman" w:hAnsi="Arial" w:cs="Arial"/>
          <w:noProof/>
          <w:szCs w:val="24"/>
        </w:rPr>
        <w:t xml:space="preserve"> </w:t>
      </w:r>
      <w:r w:rsidR="00CA1E99">
        <w:rPr>
          <w:rFonts w:ascii="Arial" w:eastAsia="Times New Roman" w:hAnsi="Arial" w:cs="Arial"/>
          <w:noProof/>
          <w:szCs w:val="24"/>
        </w:rPr>
        <w:t>7</w:t>
      </w:r>
      <w:r w:rsidR="00E755F3">
        <w:rPr>
          <w:rFonts w:ascii="Arial" w:eastAsia="Times New Roman" w:hAnsi="Arial" w:cs="Arial"/>
          <w:noProof/>
          <w:szCs w:val="24"/>
        </w:rPr>
        <w:t>, Concession</w:t>
      </w:r>
      <w:r w:rsidR="00C53CC3">
        <w:rPr>
          <w:rFonts w:ascii="Arial" w:eastAsia="Times New Roman" w:hAnsi="Arial" w:cs="Arial"/>
          <w:noProof/>
          <w:szCs w:val="24"/>
        </w:rPr>
        <w:t xml:space="preserve"> 2</w:t>
      </w:r>
      <w:r w:rsidR="00E755F3">
        <w:rPr>
          <w:rFonts w:ascii="Arial" w:eastAsia="Times New Roman" w:hAnsi="Arial" w:cs="Arial"/>
          <w:noProof/>
          <w:szCs w:val="24"/>
        </w:rPr>
        <w:t xml:space="preserve">, </w:t>
      </w:r>
      <w:r w:rsidR="00C41EA6">
        <w:rPr>
          <w:rFonts w:ascii="Arial" w:eastAsia="Times New Roman" w:hAnsi="Arial" w:cs="Arial"/>
          <w:noProof/>
          <w:szCs w:val="24"/>
        </w:rPr>
        <w:t>Collingwood</w:t>
      </w:r>
      <w:r w:rsidR="00816B58">
        <w:rPr>
          <w:rFonts w:ascii="Arial" w:eastAsia="Times New Roman" w:hAnsi="Arial" w:cs="Arial"/>
          <w:noProof/>
          <w:szCs w:val="24"/>
        </w:rPr>
        <w:t xml:space="preserve"> Township</w:t>
      </w:r>
    </w:p>
    <w:p w14:paraId="109A0E39" w14:textId="5A8401D9" w:rsidR="00E755F3" w:rsidRDefault="00C53CC3" w:rsidP="00554131">
      <w:pPr>
        <w:spacing w:after="0" w:line="240" w:lineRule="auto"/>
        <w:rPr>
          <w:rFonts w:ascii="Arial" w:eastAsia="Times New Roman" w:hAnsi="Arial" w:cs="Arial"/>
          <w:noProof/>
          <w:szCs w:val="24"/>
        </w:rPr>
      </w:pPr>
      <w:r>
        <w:rPr>
          <w:rFonts w:ascii="Arial" w:eastAsia="Times New Roman" w:hAnsi="Arial" w:cs="Arial"/>
          <w:noProof/>
          <w:szCs w:val="24"/>
        </w:rPr>
        <w:t>Town of the Blue Mountains, County of Grey</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8240"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064796" id="Straight Connector 4"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0F70DD98" w14:textId="6CD611EF" w:rsidR="0035152F" w:rsidRPr="0035152F" w:rsidRDefault="0035152F" w:rsidP="0078718D">
      <w:pPr>
        <w:pStyle w:val="Heading3"/>
      </w:pPr>
      <w:r>
        <w:t xml:space="preserve">Proposal: </w:t>
      </w:r>
    </w:p>
    <w:p w14:paraId="20A2E731" w14:textId="1C4EA434" w:rsidR="00AF4209" w:rsidRDefault="00AF4209" w:rsidP="00AF4209">
      <w:pPr>
        <w:pStyle w:val="Header"/>
        <w:rPr>
          <w:rFonts w:ascii="Arial" w:hAnsi="Arial" w:cs="Arial"/>
          <w:szCs w:val="24"/>
        </w:rPr>
      </w:pPr>
      <w:r w:rsidRPr="009B7268">
        <w:rPr>
          <w:rFonts w:ascii="Arial" w:hAnsi="Arial" w:cs="Arial"/>
          <w:noProof/>
          <w:szCs w:val="24"/>
        </w:rPr>
        <w:t>To construct a two storey ± 1</w:t>
      </w:r>
      <w:r w:rsidR="00C41EA6">
        <w:rPr>
          <w:rFonts w:ascii="Arial" w:hAnsi="Arial" w:cs="Arial"/>
          <w:noProof/>
          <w:szCs w:val="24"/>
        </w:rPr>
        <w:t>,</w:t>
      </w:r>
      <w:r w:rsidRPr="009B7268">
        <w:rPr>
          <w:rFonts w:ascii="Arial" w:hAnsi="Arial" w:cs="Arial"/>
          <w:noProof/>
          <w:szCs w:val="24"/>
        </w:rPr>
        <w:t>263.7 m</w:t>
      </w:r>
      <w:r w:rsidRPr="00DF39F8">
        <w:rPr>
          <w:rFonts w:ascii="Arial" w:hAnsi="Arial" w:cs="Arial"/>
          <w:noProof/>
          <w:szCs w:val="24"/>
          <w:vertAlign w:val="superscript"/>
        </w:rPr>
        <w:t>2</w:t>
      </w:r>
      <w:r w:rsidRPr="009B7268">
        <w:rPr>
          <w:rFonts w:ascii="Arial" w:hAnsi="Arial" w:cs="Arial"/>
          <w:noProof/>
          <w:szCs w:val="24"/>
        </w:rPr>
        <w:t xml:space="preserve"> (13</w:t>
      </w:r>
      <w:r w:rsidR="00C41EA6">
        <w:rPr>
          <w:rFonts w:ascii="Arial" w:hAnsi="Arial" w:cs="Arial"/>
          <w:noProof/>
          <w:szCs w:val="24"/>
        </w:rPr>
        <w:t>,</w:t>
      </w:r>
      <w:r w:rsidRPr="009B7268">
        <w:rPr>
          <w:rFonts w:ascii="Arial" w:hAnsi="Arial" w:cs="Arial"/>
          <w:noProof/>
          <w:szCs w:val="24"/>
        </w:rPr>
        <w:t>603 ft</w:t>
      </w:r>
      <w:r w:rsidRPr="00DF39F8">
        <w:rPr>
          <w:rFonts w:ascii="Arial" w:hAnsi="Arial" w:cs="Arial"/>
          <w:noProof/>
          <w:szCs w:val="24"/>
          <w:vertAlign w:val="superscript"/>
        </w:rPr>
        <w:t>2</w:t>
      </w:r>
      <w:r w:rsidRPr="009B7268">
        <w:rPr>
          <w:rFonts w:ascii="Arial" w:hAnsi="Arial" w:cs="Arial"/>
          <w:noProof/>
          <w:szCs w:val="24"/>
        </w:rPr>
        <w:t>) accessory structure with a maximum height of ± 15 m (49.2 ft), including a new private sewage system and a ± 48.8 m (160 ft) water supply line, on the existing 10.1 ha (25 ac) lot with an existing two and a half storey ± 1</w:t>
      </w:r>
      <w:r w:rsidR="00C41EA6">
        <w:rPr>
          <w:rFonts w:ascii="Arial" w:hAnsi="Arial" w:cs="Arial"/>
          <w:noProof/>
          <w:szCs w:val="24"/>
        </w:rPr>
        <w:t>,</w:t>
      </w:r>
      <w:r w:rsidRPr="009B7268">
        <w:rPr>
          <w:rFonts w:ascii="Arial" w:hAnsi="Arial" w:cs="Arial"/>
          <w:noProof/>
          <w:szCs w:val="24"/>
        </w:rPr>
        <w:t>640 m</w:t>
      </w:r>
      <w:r w:rsidRPr="00DF39F8">
        <w:rPr>
          <w:rFonts w:ascii="Arial" w:hAnsi="Arial" w:cs="Arial"/>
          <w:noProof/>
          <w:szCs w:val="24"/>
          <w:vertAlign w:val="superscript"/>
        </w:rPr>
        <w:t>2</w:t>
      </w:r>
      <w:r w:rsidRPr="009B7268">
        <w:rPr>
          <w:rFonts w:ascii="Arial" w:hAnsi="Arial" w:cs="Arial"/>
          <w:noProof/>
          <w:szCs w:val="24"/>
        </w:rPr>
        <w:t xml:space="preserve"> (17</w:t>
      </w:r>
      <w:r w:rsidR="00C41EA6">
        <w:rPr>
          <w:rFonts w:ascii="Arial" w:hAnsi="Arial" w:cs="Arial"/>
          <w:noProof/>
          <w:szCs w:val="24"/>
        </w:rPr>
        <w:t>,</w:t>
      </w:r>
      <w:r w:rsidRPr="009B7268">
        <w:rPr>
          <w:rFonts w:ascii="Arial" w:hAnsi="Arial" w:cs="Arial"/>
          <w:noProof/>
          <w:szCs w:val="24"/>
        </w:rPr>
        <w:t>552 ft</w:t>
      </w:r>
      <w:r w:rsidRPr="00DF39F8">
        <w:rPr>
          <w:rFonts w:ascii="Arial" w:hAnsi="Arial" w:cs="Arial"/>
          <w:noProof/>
          <w:szCs w:val="24"/>
          <w:vertAlign w:val="superscript"/>
        </w:rPr>
        <w:t>2</w:t>
      </w:r>
      <w:r w:rsidRPr="009B7268">
        <w:rPr>
          <w:rFonts w:ascii="Arial" w:hAnsi="Arial" w:cs="Arial"/>
          <w:noProof/>
          <w:szCs w:val="24"/>
        </w:rPr>
        <w:t>) single dwelling with a maximum height of ± 11.5 m (37.7 ft).</w:t>
      </w:r>
    </w:p>
    <w:p w14:paraId="64980906" w14:textId="379F1EF2" w:rsidR="0035152F" w:rsidRDefault="0035152F" w:rsidP="00554131">
      <w:pPr>
        <w:spacing w:after="0" w:line="240" w:lineRule="auto"/>
        <w:rPr>
          <w:rFonts w:ascii="Arial" w:eastAsia="Times New Roman" w:hAnsi="Arial" w:cs="Arial"/>
          <w:noProof/>
          <w:szCs w:val="24"/>
        </w:rPr>
      </w:pPr>
    </w:p>
    <w:p w14:paraId="09B46019" w14:textId="77777777" w:rsidR="003F5818" w:rsidRDefault="003F5818" w:rsidP="003F5818">
      <w:pPr>
        <w:pStyle w:val="Heading3"/>
      </w:pPr>
      <w:r w:rsidRPr="5D3B5575">
        <w:t>Received:</w:t>
      </w:r>
    </w:p>
    <w:p w14:paraId="67D7461E" w14:textId="2770705E" w:rsidR="003F5818" w:rsidRDefault="00AF4209" w:rsidP="003F5818">
      <w:pPr>
        <w:spacing w:after="0" w:line="240" w:lineRule="auto"/>
        <w:rPr>
          <w:rFonts w:ascii="Arial" w:eastAsia="Times New Roman" w:hAnsi="Arial" w:cs="Arial"/>
          <w:noProof/>
        </w:rPr>
      </w:pPr>
      <w:r>
        <w:rPr>
          <w:rFonts w:ascii="Arial" w:eastAsia="Times New Roman" w:hAnsi="Arial" w:cs="Arial"/>
          <w:noProof/>
        </w:rPr>
        <w:t>4/25/2022</w:t>
      </w:r>
    </w:p>
    <w:p w14:paraId="48A9DF17" w14:textId="77777777" w:rsidR="003F5818" w:rsidRPr="00B40797" w:rsidRDefault="003F5818" w:rsidP="003F5818">
      <w:pPr>
        <w:spacing w:after="0"/>
        <w:rPr>
          <w:rFonts w:ascii="Arial" w:eastAsia="Times New Roman" w:hAnsi="Arial" w:cs="Arial"/>
          <w:noProof/>
        </w:rPr>
      </w:pPr>
    </w:p>
    <w:p w14:paraId="37E0484D" w14:textId="77777777" w:rsidR="003F5818" w:rsidRDefault="003F5818" w:rsidP="003F5818">
      <w:pPr>
        <w:pStyle w:val="Heading3"/>
      </w:pPr>
      <w:r w:rsidRPr="13E7CEDC">
        <w:t>Source:</w:t>
      </w:r>
    </w:p>
    <w:p w14:paraId="7E1A28F7" w14:textId="7981B9EF" w:rsidR="007B12DB" w:rsidRDefault="00596AA7" w:rsidP="007B12DB">
      <w:pPr>
        <w:pStyle w:val="Header"/>
        <w:rPr>
          <w:rFonts w:ascii="Arial" w:hAnsi="Arial" w:cs="Arial"/>
          <w:szCs w:val="24"/>
        </w:rPr>
      </w:pPr>
      <w:r>
        <w:rPr>
          <w:rFonts w:ascii="Arial" w:hAnsi="Arial" w:cs="Arial"/>
          <w:noProof/>
          <w:szCs w:val="24"/>
        </w:rPr>
        <w:t>REDATED</w:t>
      </w:r>
      <w:r w:rsidR="007B12DB">
        <w:rPr>
          <w:rFonts w:ascii="Arial" w:hAnsi="Arial" w:cs="Arial"/>
          <w:szCs w:val="24"/>
        </w:rPr>
        <w:t xml:space="preserve"> </w:t>
      </w:r>
      <w:r w:rsidR="007B12DB" w:rsidRPr="00935EFC">
        <w:rPr>
          <w:rFonts w:ascii="Arial" w:hAnsi="Arial" w:cs="Arial"/>
          <w:szCs w:val="24"/>
        </w:rPr>
        <w:t>- applicant</w:t>
      </w:r>
    </w:p>
    <w:p w14:paraId="4CA27F32" w14:textId="1E3E7E2A" w:rsidR="007B12DB" w:rsidRDefault="007B12DB" w:rsidP="007B12DB">
      <w:pPr>
        <w:pStyle w:val="Header"/>
        <w:rPr>
          <w:rFonts w:ascii="Arial" w:hAnsi="Arial" w:cs="Arial"/>
          <w:szCs w:val="24"/>
        </w:rPr>
      </w:pPr>
      <w:r w:rsidRPr="009B7268">
        <w:rPr>
          <w:rFonts w:ascii="Arial" w:hAnsi="Arial" w:cs="Arial"/>
          <w:noProof/>
          <w:szCs w:val="24"/>
        </w:rPr>
        <w:t>Same as Applicant</w:t>
      </w:r>
      <w:r>
        <w:rPr>
          <w:rFonts w:ascii="Arial" w:hAnsi="Arial" w:cs="Arial"/>
          <w:szCs w:val="24"/>
        </w:rPr>
        <w:t xml:space="preserve"> - owner</w:t>
      </w:r>
    </w:p>
    <w:p w14:paraId="10F6778F" w14:textId="23524330" w:rsidR="007B12DB" w:rsidRDefault="007B12DB" w:rsidP="007B12DB">
      <w:pPr>
        <w:pStyle w:val="Header"/>
        <w:rPr>
          <w:rFonts w:ascii="Arial" w:hAnsi="Arial" w:cs="Arial"/>
          <w:szCs w:val="24"/>
        </w:rPr>
      </w:pPr>
      <w:r w:rsidRPr="009B7268">
        <w:rPr>
          <w:rFonts w:ascii="Arial" w:hAnsi="Arial" w:cs="Arial"/>
          <w:noProof/>
          <w:szCs w:val="24"/>
        </w:rPr>
        <w:t>Jasper Group Inc.</w:t>
      </w:r>
      <w:r>
        <w:rPr>
          <w:rFonts w:ascii="Arial" w:hAnsi="Arial" w:cs="Arial"/>
          <w:szCs w:val="24"/>
        </w:rPr>
        <w:t xml:space="preserve"> – agent</w:t>
      </w:r>
    </w:p>
    <w:p w14:paraId="3C2C1804" w14:textId="77777777" w:rsidR="007B12DB" w:rsidRDefault="007B12DB" w:rsidP="007B12DB">
      <w:pPr>
        <w:pStyle w:val="Header"/>
        <w:rPr>
          <w:rFonts w:ascii="Arial" w:hAnsi="Arial" w:cs="Arial"/>
          <w:szCs w:val="24"/>
        </w:rPr>
      </w:pPr>
    </w:p>
    <w:p w14:paraId="6E72F5BD" w14:textId="3D2397EA" w:rsidR="0035152F" w:rsidRPr="0035152F" w:rsidRDefault="0035152F" w:rsidP="0078718D">
      <w:pPr>
        <w:pStyle w:val="Heading3"/>
      </w:pPr>
      <w:r>
        <w:t>Designations:</w:t>
      </w:r>
    </w:p>
    <w:p w14:paraId="0F16D6EB" w14:textId="0F7217FF" w:rsidR="00554131" w:rsidRDefault="006356CE"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Rural Area, Escarpment Natural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6C1FCBFF" w14:textId="2E3D4F3C" w:rsidR="13E7CEDC" w:rsidRDefault="13E7CEDC" w:rsidP="00101072">
      <w:pPr>
        <w:pStyle w:val="Heading3"/>
      </w:pPr>
      <w:r w:rsidRPr="13E7CEDC">
        <w:t>Issue</w:t>
      </w:r>
      <w:r w:rsidR="00E755F3">
        <w:t>:</w:t>
      </w:r>
    </w:p>
    <w:p w14:paraId="102B4341" w14:textId="065142B6" w:rsidR="0078718D" w:rsidRPr="00966DC3" w:rsidRDefault="00966DC3"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 xml:space="preserve">Accessory uses and facilities are permitted under the Niagara Escarpment Plan (NEP) for lands within the Escarpment Rural Area. </w:t>
      </w:r>
      <w:r w:rsidR="00A16104">
        <w:rPr>
          <w:rFonts w:ascii="Arial" w:eastAsia="Times New Roman" w:hAnsi="Arial" w:cs="Times New Roman"/>
          <w:szCs w:val="24"/>
          <w:lang w:val="en-GB"/>
        </w:rPr>
        <w:t>Th</w:t>
      </w:r>
      <w:r>
        <w:rPr>
          <w:rFonts w:ascii="Arial" w:eastAsia="Times New Roman" w:hAnsi="Arial" w:cs="Times New Roman"/>
          <w:szCs w:val="24"/>
          <w:lang w:val="en-GB"/>
        </w:rPr>
        <w:t xml:space="preserve">is </w:t>
      </w:r>
      <w:r w:rsidR="00A16104">
        <w:rPr>
          <w:rFonts w:ascii="Arial" w:eastAsia="Times New Roman" w:hAnsi="Arial" w:cs="Times New Roman"/>
          <w:szCs w:val="24"/>
          <w:lang w:val="en-GB"/>
        </w:rPr>
        <w:t>proposal</w:t>
      </w:r>
      <w:r>
        <w:rPr>
          <w:rFonts w:ascii="Arial" w:eastAsia="Times New Roman" w:hAnsi="Arial" w:cs="Times New Roman"/>
          <w:szCs w:val="24"/>
          <w:lang w:val="en-GB"/>
        </w:rPr>
        <w:t>, however,</w:t>
      </w:r>
      <w:r w:rsidR="00A16104">
        <w:rPr>
          <w:rFonts w:ascii="Arial" w:eastAsia="Times New Roman" w:hAnsi="Arial" w:cs="Times New Roman"/>
          <w:szCs w:val="24"/>
          <w:lang w:val="en-GB"/>
        </w:rPr>
        <w:t xml:space="preserve"> is for a very large</w:t>
      </w:r>
      <w:r w:rsidR="00AE47B1">
        <w:rPr>
          <w:rFonts w:ascii="Arial" w:eastAsia="Times New Roman" w:hAnsi="Arial" w:cs="Times New Roman"/>
          <w:szCs w:val="24"/>
          <w:lang w:val="en-GB"/>
        </w:rPr>
        <w:t xml:space="preserve"> </w:t>
      </w:r>
      <w:r w:rsidR="00AE47B1">
        <w:rPr>
          <w:rFonts w:ascii="Arial" w:eastAsia="Times New Roman" w:hAnsi="Arial" w:cs="Times New Roman"/>
          <w:szCs w:val="24"/>
          <w:lang w:val="en-GB"/>
        </w:rPr>
        <w:lastRenderedPageBreak/>
        <w:t>(&gt;13,</w:t>
      </w:r>
      <w:r w:rsidR="00DF39F8">
        <w:rPr>
          <w:rFonts w:ascii="Arial" w:eastAsia="Times New Roman" w:hAnsi="Arial" w:cs="Times New Roman"/>
          <w:szCs w:val="24"/>
          <w:lang w:val="en-GB"/>
        </w:rPr>
        <w:t>6</w:t>
      </w:r>
      <w:r w:rsidR="00AE47B1">
        <w:rPr>
          <w:rFonts w:ascii="Arial" w:eastAsia="Times New Roman" w:hAnsi="Arial" w:cs="Times New Roman"/>
          <w:szCs w:val="24"/>
          <w:lang w:val="en-GB"/>
        </w:rPr>
        <w:t>00</w:t>
      </w:r>
      <w:r w:rsidR="00DF39F8">
        <w:rPr>
          <w:rFonts w:ascii="Arial" w:eastAsia="Times New Roman" w:hAnsi="Arial" w:cs="Times New Roman"/>
          <w:szCs w:val="24"/>
          <w:lang w:val="en-GB"/>
        </w:rPr>
        <w:t xml:space="preserve"> </w:t>
      </w:r>
      <w:r w:rsidR="00AE47B1">
        <w:rPr>
          <w:rFonts w:ascii="Arial" w:eastAsia="Times New Roman" w:hAnsi="Arial" w:cs="Times New Roman"/>
          <w:szCs w:val="24"/>
          <w:lang w:val="en-GB"/>
        </w:rPr>
        <w:t>ft</w:t>
      </w:r>
      <w:r w:rsidR="00AE47B1" w:rsidRPr="00DF39F8">
        <w:rPr>
          <w:rFonts w:ascii="Arial" w:eastAsia="Times New Roman" w:hAnsi="Arial" w:cs="Times New Roman"/>
          <w:szCs w:val="24"/>
          <w:vertAlign w:val="superscript"/>
          <w:lang w:val="en-GB"/>
        </w:rPr>
        <w:t>2</w:t>
      </w:r>
      <w:r w:rsidR="00AE47B1">
        <w:rPr>
          <w:rFonts w:ascii="Arial" w:eastAsia="Times New Roman" w:hAnsi="Arial" w:cs="Times New Roman"/>
          <w:szCs w:val="24"/>
          <w:lang w:val="en-GB"/>
        </w:rPr>
        <w:t>)</w:t>
      </w:r>
      <w:r w:rsidR="00A16104">
        <w:rPr>
          <w:rFonts w:ascii="Arial" w:eastAsia="Times New Roman" w:hAnsi="Arial" w:cs="Times New Roman"/>
          <w:szCs w:val="24"/>
          <w:lang w:val="en-GB"/>
        </w:rPr>
        <w:t>, two storey accessory structure</w:t>
      </w:r>
      <w:r w:rsidR="00AE47B1">
        <w:rPr>
          <w:rFonts w:ascii="Arial" w:eastAsia="Times New Roman" w:hAnsi="Arial" w:cs="Times New Roman"/>
          <w:szCs w:val="24"/>
          <w:lang w:val="en-GB"/>
        </w:rPr>
        <w:t xml:space="preserve"> with a height of 15 m</w:t>
      </w:r>
      <w:r w:rsidR="00C81944">
        <w:rPr>
          <w:rFonts w:ascii="Arial" w:eastAsia="Times New Roman" w:hAnsi="Arial" w:cs="Times New Roman"/>
          <w:szCs w:val="24"/>
          <w:lang w:val="en-GB"/>
        </w:rPr>
        <w:t xml:space="preserve">, </w:t>
      </w:r>
      <w:r w:rsidR="00AC0855">
        <w:rPr>
          <w:rFonts w:ascii="Arial" w:eastAsia="Times New Roman" w:hAnsi="Arial" w:cs="Times New Roman"/>
          <w:szCs w:val="24"/>
          <w:lang w:val="en-GB"/>
        </w:rPr>
        <w:t>as well as</w:t>
      </w:r>
      <w:r w:rsidR="00C81944">
        <w:rPr>
          <w:rFonts w:ascii="Arial" w:eastAsia="Times New Roman" w:hAnsi="Arial" w:cs="Times New Roman"/>
          <w:szCs w:val="24"/>
          <w:lang w:val="en-GB"/>
        </w:rPr>
        <w:t xml:space="preserve"> a new dedicated sewage disposal system solely to support the use of this structure</w:t>
      </w:r>
      <w:r w:rsidR="00AE47B1">
        <w:rPr>
          <w:rFonts w:ascii="Arial" w:eastAsia="Times New Roman" w:hAnsi="Arial" w:cs="Times New Roman"/>
          <w:szCs w:val="24"/>
          <w:lang w:val="en-GB"/>
        </w:rPr>
        <w:t xml:space="preserve">. </w:t>
      </w:r>
      <w:r w:rsidR="003014B4">
        <w:rPr>
          <w:rFonts w:ascii="Arial" w:eastAsia="Times New Roman" w:hAnsi="Arial" w:cs="Times New Roman"/>
          <w:szCs w:val="24"/>
          <w:lang w:val="en-GB"/>
        </w:rPr>
        <w:t xml:space="preserve">Although the existing dwelling exceeds </w:t>
      </w:r>
      <w:r w:rsidR="00C81944">
        <w:rPr>
          <w:rFonts w:ascii="Arial" w:eastAsia="Times New Roman" w:hAnsi="Arial" w:cs="Times New Roman"/>
          <w:szCs w:val="24"/>
          <w:lang w:val="en-GB"/>
        </w:rPr>
        <w:t xml:space="preserve">the footprint of the accessory structure </w:t>
      </w:r>
      <w:r w:rsidR="003014B4">
        <w:rPr>
          <w:rFonts w:ascii="Arial" w:eastAsia="Times New Roman" w:hAnsi="Arial" w:cs="Times New Roman"/>
          <w:szCs w:val="24"/>
          <w:lang w:val="en-GB"/>
        </w:rPr>
        <w:t xml:space="preserve">in total floor area, </w:t>
      </w:r>
      <w:r w:rsidR="00795D92">
        <w:rPr>
          <w:rFonts w:ascii="Arial" w:eastAsia="Times New Roman" w:hAnsi="Arial" w:cs="Times New Roman"/>
          <w:szCs w:val="24"/>
          <w:lang w:val="en-GB"/>
        </w:rPr>
        <w:t xml:space="preserve">the definition of </w:t>
      </w:r>
      <w:r w:rsidR="005B46C3">
        <w:rPr>
          <w:rFonts w:ascii="Arial" w:eastAsia="Times New Roman" w:hAnsi="Arial" w:cs="Times New Roman"/>
          <w:szCs w:val="24"/>
          <w:lang w:val="en-GB"/>
        </w:rPr>
        <w:t xml:space="preserve">an </w:t>
      </w:r>
      <w:r w:rsidR="00103AEA">
        <w:rPr>
          <w:rFonts w:ascii="Arial" w:eastAsia="Times New Roman" w:hAnsi="Arial" w:cs="Times New Roman"/>
          <w:szCs w:val="24"/>
          <w:lang w:val="en-GB"/>
        </w:rPr>
        <w:t xml:space="preserve">accessory </w:t>
      </w:r>
      <w:r w:rsidR="00C41EA6">
        <w:rPr>
          <w:rFonts w:ascii="Arial" w:eastAsia="Times New Roman" w:hAnsi="Arial" w:cs="Times New Roman"/>
          <w:szCs w:val="24"/>
          <w:lang w:val="en-GB"/>
        </w:rPr>
        <w:t>facility/</w:t>
      </w:r>
      <w:r w:rsidR="00103AEA">
        <w:rPr>
          <w:rFonts w:ascii="Arial" w:eastAsia="Times New Roman" w:hAnsi="Arial" w:cs="Times New Roman"/>
          <w:szCs w:val="24"/>
          <w:lang w:val="en-GB"/>
        </w:rPr>
        <w:t xml:space="preserve">structure </w:t>
      </w:r>
      <w:r w:rsidR="00795D92">
        <w:rPr>
          <w:rFonts w:ascii="Arial" w:eastAsia="Times New Roman" w:hAnsi="Arial" w:cs="Times New Roman"/>
          <w:szCs w:val="24"/>
          <w:lang w:val="en-GB"/>
        </w:rPr>
        <w:t>in the NEP</w:t>
      </w:r>
      <w:r w:rsidR="00EA73C8">
        <w:rPr>
          <w:rFonts w:ascii="Arial" w:eastAsia="Times New Roman" w:hAnsi="Arial" w:cs="Times New Roman"/>
          <w:szCs w:val="24"/>
          <w:lang w:val="en-GB"/>
        </w:rPr>
        <w:t xml:space="preserve"> </w:t>
      </w:r>
      <w:r w:rsidR="005B46C3">
        <w:rPr>
          <w:rFonts w:ascii="Arial" w:eastAsia="Times New Roman" w:hAnsi="Arial" w:cs="Times New Roman"/>
          <w:szCs w:val="24"/>
          <w:lang w:val="en-GB"/>
        </w:rPr>
        <w:t xml:space="preserve">requires </w:t>
      </w:r>
      <w:r w:rsidR="005B46C3" w:rsidRPr="00C41EA6">
        <w:rPr>
          <w:rFonts w:ascii="Arial" w:eastAsia="Times New Roman" w:hAnsi="Arial" w:cs="Times New Roman"/>
          <w:szCs w:val="24"/>
          <w:lang w:val="en-GB"/>
        </w:rPr>
        <w:t>that the building be</w:t>
      </w:r>
      <w:r w:rsidR="00EA73C8" w:rsidRPr="0027693D">
        <w:rPr>
          <w:rFonts w:ascii="Arial" w:eastAsia="Times New Roman" w:hAnsi="Arial" w:cs="Times New Roman"/>
          <w:szCs w:val="24"/>
          <w:lang w:val="en-GB"/>
        </w:rPr>
        <w:t xml:space="preserve"> </w:t>
      </w:r>
      <w:r w:rsidR="00C41EA6" w:rsidRPr="0027693D">
        <w:rPr>
          <w:rFonts w:ascii="Arial" w:eastAsia="Times New Roman" w:hAnsi="Arial" w:cs="Times New Roman"/>
          <w:szCs w:val="24"/>
          <w:lang w:val="en-GB"/>
        </w:rPr>
        <w:t>“</w:t>
      </w:r>
      <w:r w:rsidR="00EA73C8" w:rsidRPr="0027693D">
        <w:rPr>
          <w:rFonts w:ascii="Arial" w:eastAsia="Times New Roman" w:hAnsi="Arial" w:cs="Times New Roman"/>
          <w:szCs w:val="24"/>
          <w:lang w:val="en-GB"/>
        </w:rPr>
        <w:t>naturally and</w:t>
      </w:r>
      <w:r w:rsidR="00E75F78" w:rsidRPr="0027693D">
        <w:rPr>
          <w:rFonts w:ascii="Arial" w:eastAsia="Times New Roman" w:hAnsi="Arial" w:cs="Times New Roman"/>
          <w:szCs w:val="24"/>
          <w:lang w:val="en-GB"/>
        </w:rPr>
        <w:t xml:space="preserve"> </w:t>
      </w:r>
      <w:r w:rsidR="00EA73C8" w:rsidRPr="0027693D">
        <w:rPr>
          <w:rFonts w:ascii="Arial" w:eastAsia="Times New Roman" w:hAnsi="Arial" w:cs="Times New Roman"/>
          <w:szCs w:val="24"/>
          <w:lang w:val="en-GB"/>
        </w:rPr>
        <w:t xml:space="preserve">normally incidental, subordinate, and exclusively devoted to the </w:t>
      </w:r>
      <w:r w:rsidR="00E75F78" w:rsidRPr="0027693D">
        <w:rPr>
          <w:rFonts w:ascii="Arial" w:eastAsia="Times New Roman" w:hAnsi="Arial" w:cs="Times New Roman"/>
          <w:szCs w:val="24"/>
          <w:lang w:val="en-GB"/>
        </w:rPr>
        <w:t>principal</w:t>
      </w:r>
      <w:r w:rsidR="00EA73C8" w:rsidRPr="0027693D">
        <w:rPr>
          <w:rFonts w:ascii="Arial" w:eastAsia="Times New Roman" w:hAnsi="Arial" w:cs="Times New Roman"/>
          <w:szCs w:val="24"/>
          <w:lang w:val="en-GB"/>
        </w:rPr>
        <w:t xml:space="preserve"> use located on the same lot</w:t>
      </w:r>
      <w:r w:rsidR="005B46C3" w:rsidRPr="00C41EA6">
        <w:rPr>
          <w:rFonts w:ascii="Arial" w:eastAsia="Times New Roman" w:hAnsi="Arial" w:cs="Times New Roman"/>
          <w:szCs w:val="24"/>
          <w:lang w:val="en-GB"/>
        </w:rPr>
        <w:t>.</w:t>
      </w:r>
      <w:r w:rsidR="00C41EA6" w:rsidRPr="00C41EA6">
        <w:rPr>
          <w:rFonts w:ascii="Arial" w:eastAsia="Times New Roman" w:hAnsi="Arial" w:cs="Times New Roman"/>
          <w:szCs w:val="24"/>
          <w:lang w:val="en-GB"/>
        </w:rPr>
        <w:t>”</w:t>
      </w:r>
      <w:r w:rsidR="005B46C3" w:rsidRPr="00D64D75">
        <w:rPr>
          <w:rFonts w:ascii="Arial" w:eastAsia="Times New Roman" w:hAnsi="Arial" w:cs="Times New Roman"/>
          <w:szCs w:val="24"/>
          <w:lang w:val="en-GB"/>
        </w:rPr>
        <w:t xml:space="preserve"> It </w:t>
      </w:r>
      <w:r w:rsidRPr="009E06C2">
        <w:rPr>
          <w:rFonts w:ascii="Arial" w:eastAsia="Times New Roman" w:hAnsi="Arial" w:cs="Times New Roman"/>
          <w:szCs w:val="24"/>
          <w:lang w:val="en-GB"/>
        </w:rPr>
        <w:t>is not clear</w:t>
      </w:r>
      <w:r w:rsidR="005B46C3" w:rsidRPr="009E06C2">
        <w:rPr>
          <w:rFonts w:ascii="Arial" w:eastAsia="Times New Roman" w:hAnsi="Arial" w:cs="Times New Roman"/>
          <w:szCs w:val="24"/>
          <w:lang w:val="en-GB"/>
        </w:rPr>
        <w:t xml:space="preserve"> that this structure would be </w:t>
      </w:r>
      <w:r w:rsidR="00C41EA6" w:rsidRPr="009E06C2">
        <w:rPr>
          <w:rFonts w:ascii="Arial" w:eastAsia="Times New Roman" w:hAnsi="Arial" w:cs="Times New Roman"/>
          <w:szCs w:val="24"/>
          <w:lang w:val="en-GB"/>
        </w:rPr>
        <w:t>“</w:t>
      </w:r>
      <w:r w:rsidR="005B46C3" w:rsidRPr="0027693D">
        <w:rPr>
          <w:rFonts w:ascii="Arial" w:eastAsia="Times New Roman" w:hAnsi="Arial" w:cs="Times New Roman"/>
          <w:szCs w:val="24"/>
          <w:lang w:val="en-GB"/>
        </w:rPr>
        <w:t>normally incidental and subordinat</w:t>
      </w:r>
      <w:r w:rsidR="00103AEA" w:rsidRPr="0027693D">
        <w:rPr>
          <w:rFonts w:ascii="Arial" w:eastAsia="Times New Roman" w:hAnsi="Arial" w:cs="Times New Roman"/>
          <w:szCs w:val="24"/>
          <w:lang w:val="en-GB"/>
        </w:rPr>
        <w:t>e</w:t>
      </w:r>
      <w:r w:rsidR="00C41EA6" w:rsidRPr="0027693D">
        <w:rPr>
          <w:rFonts w:ascii="Arial" w:eastAsia="Times New Roman" w:hAnsi="Arial" w:cs="Times New Roman"/>
          <w:szCs w:val="24"/>
          <w:lang w:val="en-GB"/>
        </w:rPr>
        <w:t>”</w:t>
      </w:r>
      <w:r w:rsidR="005B46C3" w:rsidRPr="00C41EA6">
        <w:rPr>
          <w:rFonts w:ascii="Arial" w:eastAsia="Times New Roman" w:hAnsi="Arial" w:cs="Times New Roman"/>
          <w:szCs w:val="24"/>
          <w:lang w:val="en-GB"/>
        </w:rPr>
        <w:t xml:space="preserve"> to the</w:t>
      </w:r>
      <w:r w:rsidRPr="00C41EA6">
        <w:rPr>
          <w:rFonts w:ascii="Arial" w:eastAsia="Times New Roman" w:hAnsi="Arial" w:cs="Times New Roman"/>
          <w:szCs w:val="24"/>
          <w:lang w:val="en-GB"/>
        </w:rPr>
        <w:t xml:space="preserve"> vast maj</w:t>
      </w:r>
      <w:r w:rsidRPr="00D64D75">
        <w:rPr>
          <w:rFonts w:ascii="Arial" w:eastAsia="Times New Roman" w:hAnsi="Arial" w:cs="Times New Roman"/>
          <w:szCs w:val="24"/>
          <w:lang w:val="en-GB"/>
        </w:rPr>
        <w:t xml:space="preserve">ority of </w:t>
      </w:r>
      <w:r w:rsidR="00893367" w:rsidRPr="009E06C2">
        <w:rPr>
          <w:rFonts w:ascii="Arial" w:eastAsia="Times New Roman" w:hAnsi="Arial" w:cs="Times New Roman"/>
          <w:szCs w:val="24"/>
          <w:lang w:val="en-GB"/>
        </w:rPr>
        <w:t>single-family</w:t>
      </w:r>
      <w:r w:rsidR="00103AEA">
        <w:rPr>
          <w:rFonts w:ascii="Arial" w:eastAsia="Times New Roman" w:hAnsi="Arial" w:cs="Times New Roman"/>
          <w:szCs w:val="24"/>
          <w:lang w:val="en-GB"/>
        </w:rPr>
        <w:t xml:space="preserve"> homes</w:t>
      </w:r>
      <w:r w:rsidR="005D423C">
        <w:rPr>
          <w:rFonts w:ascii="Arial" w:eastAsia="Times New Roman" w:hAnsi="Arial" w:cs="Times New Roman"/>
          <w:szCs w:val="24"/>
          <w:lang w:val="en-GB"/>
        </w:rPr>
        <w:t xml:space="preserve">. </w:t>
      </w:r>
      <w:r w:rsidR="00C47372">
        <w:rPr>
          <w:rFonts w:ascii="Arial" w:eastAsia="Times New Roman" w:hAnsi="Arial" w:cs="Times New Roman"/>
          <w:szCs w:val="24"/>
          <w:lang w:val="en-GB"/>
        </w:rPr>
        <w:t xml:space="preserve">In addition, the Town of Blue Mountains </w:t>
      </w:r>
      <w:r>
        <w:rPr>
          <w:rFonts w:ascii="Arial" w:eastAsia="Times New Roman" w:hAnsi="Arial" w:cs="Times New Roman"/>
          <w:szCs w:val="24"/>
          <w:lang w:val="en-GB"/>
        </w:rPr>
        <w:t xml:space="preserve">has expressed </w:t>
      </w:r>
      <w:r w:rsidR="00C47372">
        <w:rPr>
          <w:rFonts w:ascii="Arial" w:eastAsia="Times New Roman" w:hAnsi="Arial" w:cs="Times New Roman"/>
          <w:szCs w:val="24"/>
          <w:lang w:val="en-GB"/>
        </w:rPr>
        <w:t>concerns about the size of the building and indicated that if the property was located within their zoning (i.e., Rural Zone), that the proposed structure would not be permitted</w:t>
      </w:r>
      <w:r>
        <w:rPr>
          <w:rFonts w:ascii="Arial" w:eastAsia="Times New Roman" w:hAnsi="Arial" w:cs="Times New Roman"/>
          <w:szCs w:val="24"/>
          <w:lang w:val="en-GB"/>
        </w:rPr>
        <w:t xml:space="preserve"> due to its overall height. </w:t>
      </w:r>
    </w:p>
    <w:p w14:paraId="7BB21ED1" w14:textId="77777777" w:rsidR="00C47372" w:rsidRDefault="00C47372" w:rsidP="00554131">
      <w:pPr>
        <w:spacing w:after="0" w:line="240" w:lineRule="auto"/>
        <w:rPr>
          <w:rFonts w:ascii="Arial" w:eastAsia="Times New Roman" w:hAnsi="Arial" w:cs="Times New Roman"/>
          <w:szCs w:val="24"/>
          <w:lang w:val="en-GB"/>
        </w:rPr>
      </w:pPr>
    </w:p>
    <w:p w14:paraId="66D08780" w14:textId="73A6D3EF" w:rsidR="0078718D" w:rsidRDefault="0078718D" w:rsidP="0078718D">
      <w:pPr>
        <w:pStyle w:val="Heading3"/>
      </w:pPr>
      <w:r>
        <w:t>Recommendation:</w:t>
      </w:r>
    </w:p>
    <w:p w14:paraId="22E987E6" w14:textId="236D21C5" w:rsidR="0078718D" w:rsidRDefault="002A433D" w:rsidP="00AF4054">
      <w:r>
        <w:t>Refusal</w:t>
      </w:r>
    </w:p>
    <w:p w14:paraId="7160B58F" w14:textId="0243DF01" w:rsidR="0078718D" w:rsidRPr="0078718D" w:rsidRDefault="0078718D" w:rsidP="0078718D">
      <w:pPr>
        <w:pStyle w:val="Heading3"/>
      </w:pPr>
      <w:r>
        <w:t>Reasons:</w:t>
      </w:r>
    </w:p>
    <w:p w14:paraId="0A7C7B67" w14:textId="0B1B38D2" w:rsidR="00A51417" w:rsidRDefault="00DA2B16" w:rsidP="00AF4054">
      <w:r>
        <w:t xml:space="preserve">The proposed structure does not meet the definition of an </w:t>
      </w:r>
      <w:r w:rsidR="00103AEA">
        <w:t>a</w:t>
      </w:r>
      <w:r>
        <w:t xml:space="preserve">ccessory </w:t>
      </w:r>
      <w:r w:rsidR="00103AEA">
        <w:t>structure</w:t>
      </w:r>
      <w:r w:rsidR="00ED56AA">
        <w:t xml:space="preserve">, particularly in that the structure needs to be </w:t>
      </w:r>
      <w:r w:rsidR="00ED56AA" w:rsidRPr="0027693D">
        <w:t>normally incidental and subordinate</w:t>
      </w:r>
      <w:r w:rsidR="00ED56AA">
        <w:rPr>
          <w:i/>
          <w:iCs/>
        </w:rPr>
        <w:t xml:space="preserve"> </w:t>
      </w:r>
      <w:r w:rsidR="00ED56AA">
        <w:t xml:space="preserve">to the </w:t>
      </w:r>
      <w:r w:rsidR="00A51417">
        <w:t xml:space="preserve">primary use on the lot (single family dwelling). </w:t>
      </w:r>
      <w:r>
        <w:t xml:space="preserve">Although </w:t>
      </w:r>
      <w:r w:rsidR="00A51417">
        <w:t xml:space="preserve">the proposed structure </w:t>
      </w:r>
      <w:r>
        <w:t xml:space="preserve">is subordinate in size to the dwelling, it is much larger than what is normally approved by the NEC for an </w:t>
      </w:r>
      <w:r w:rsidR="00992392">
        <w:t>a</w:t>
      </w:r>
      <w:r>
        <w:t xml:space="preserve">ccessory </w:t>
      </w:r>
      <w:r w:rsidR="00992392">
        <w:t xml:space="preserve">structure </w:t>
      </w:r>
      <w:r w:rsidR="00ED56AA">
        <w:t xml:space="preserve">and would not </w:t>
      </w:r>
      <w:r w:rsidR="00103AEA">
        <w:t>be</w:t>
      </w:r>
      <w:r w:rsidR="00ED56AA">
        <w:t xml:space="preserve"> </w:t>
      </w:r>
      <w:r w:rsidR="00ED56AA" w:rsidRPr="0027693D">
        <w:t xml:space="preserve">normally </w:t>
      </w:r>
      <w:r w:rsidR="00ED56AA" w:rsidRPr="00C41EA6">
        <w:t xml:space="preserve">subordinate to a </w:t>
      </w:r>
      <w:r w:rsidR="0079392D" w:rsidRPr="00D64D75">
        <w:t xml:space="preserve">typical </w:t>
      </w:r>
      <w:r w:rsidR="00ED56AA" w:rsidRPr="009E06C2">
        <w:t>dwelling</w:t>
      </w:r>
      <w:r w:rsidR="007773EB" w:rsidRPr="009E06C2">
        <w:t xml:space="preserve"> exc</w:t>
      </w:r>
      <w:r w:rsidR="007773EB" w:rsidRPr="00C41EA6">
        <w:t xml:space="preserve">ept in the most exceptional circumstances where the home is larger than 14,000 </w:t>
      </w:r>
      <w:r w:rsidR="007773EB" w:rsidRPr="00C41EA6">
        <w:rPr>
          <w:rFonts w:ascii="Arial" w:hAnsi="Arial" w:cs="Arial"/>
          <w:noProof/>
          <w:szCs w:val="24"/>
        </w:rPr>
        <w:t>ft</w:t>
      </w:r>
      <w:r w:rsidR="007773EB" w:rsidRPr="00C41EA6">
        <w:rPr>
          <w:rFonts w:ascii="Arial" w:hAnsi="Arial" w:cs="Arial"/>
          <w:noProof/>
          <w:szCs w:val="24"/>
          <w:vertAlign w:val="superscript"/>
        </w:rPr>
        <w:t>2</w:t>
      </w:r>
      <w:r w:rsidRPr="00C41EA6">
        <w:t xml:space="preserve">. </w:t>
      </w:r>
      <w:r w:rsidR="00A51417" w:rsidRPr="00C41EA6">
        <w:t xml:space="preserve">The proposed use </w:t>
      </w:r>
      <w:r w:rsidR="00ED56AA" w:rsidRPr="00C41EA6">
        <w:t xml:space="preserve">also does not meet the criteria of </w:t>
      </w:r>
      <w:r w:rsidR="00ED56AA" w:rsidRPr="0027693D">
        <w:t>normally incidental</w:t>
      </w:r>
      <w:r w:rsidR="00A51417" w:rsidRPr="0027693D">
        <w:t xml:space="preserve"> to</w:t>
      </w:r>
      <w:r w:rsidR="00A51417">
        <w:rPr>
          <w:i/>
          <w:iCs/>
        </w:rPr>
        <w:t>,</w:t>
      </w:r>
      <w:r w:rsidR="00ED56AA">
        <w:rPr>
          <w:i/>
          <w:iCs/>
        </w:rPr>
        <w:t xml:space="preserve"> </w:t>
      </w:r>
      <w:r w:rsidR="00A51417">
        <w:t>in that the proposed use would not be normal for the vast majority of dwellings</w:t>
      </w:r>
      <w:r w:rsidR="00992392">
        <w:t xml:space="preserve"> (e.g., </w:t>
      </w:r>
      <w:r w:rsidR="00EA317B">
        <w:t>4</w:t>
      </w:r>
      <w:r w:rsidR="00C41EA6">
        <w:t>,</w:t>
      </w:r>
      <w:r w:rsidR="00EA317B">
        <w:t>3</w:t>
      </w:r>
      <w:r w:rsidR="00992392">
        <w:t xml:space="preserve">00 </w:t>
      </w:r>
      <w:r w:rsidR="00EA317B" w:rsidRPr="009B7268">
        <w:rPr>
          <w:rFonts w:ascii="Arial" w:hAnsi="Arial" w:cs="Arial"/>
          <w:noProof/>
          <w:szCs w:val="24"/>
        </w:rPr>
        <w:t>ft</w:t>
      </w:r>
      <w:r w:rsidR="00EA317B" w:rsidRPr="00DF39F8">
        <w:rPr>
          <w:rFonts w:ascii="Arial" w:hAnsi="Arial" w:cs="Arial"/>
          <w:noProof/>
          <w:szCs w:val="24"/>
          <w:vertAlign w:val="superscript"/>
        </w:rPr>
        <w:t>2</w:t>
      </w:r>
      <w:r w:rsidR="00992392">
        <w:t xml:space="preserve">gym/yoga studio, </w:t>
      </w:r>
      <w:r w:rsidR="00EA317B">
        <w:t>3</w:t>
      </w:r>
      <w:r w:rsidR="00C41EA6">
        <w:t>,</w:t>
      </w:r>
      <w:r w:rsidR="00EA317B">
        <w:t xml:space="preserve">760 </w:t>
      </w:r>
      <w:r w:rsidR="00EA317B" w:rsidRPr="009B7268">
        <w:rPr>
          <w:rFonts w:ascii="Arial" w:hAnsi="Arial" w:cs="Arial"/>
          <w:noProof/>
          <w:szCs w:val="24"/>
        </w:rPr>
        <w:t>ft</w:t>
      </w:r>
      <w:r w:rsidR="00EA317B" w:rsidRPr="00DF39F8">
        <w:rPr>
          <w:rFonts w:ascii="Arial" w:hAnsi="Arial" w:cs="Arial"/>
          <w:noProof/>
          <w:szCs w:val="24"/>
          <w:vertAlign w:val="superscript"/>
        </w:rPr>
        <w:t>2</w:t>
      </w:r>
      <w:r w:rsidR="00EA317B">
        <w:t xml:space="preserve"> “volleyball change room and storage” and an indoor pickleball/tennis court).</w:t>
      </w:r>
    </w:p>
    <w:p w14:paraId="26ADC33D" w14:textId="17177B94" w:rsidR="00DA2B16" w:rsidRPr="007773EB" w:rsidRDefault="00DA2B16" w:rsidP="00AF4054">
      <w:r>
        <w:t xml:space="preserve">In addition, the </w:t>
      </w:r>
      <w:r w:rsidR="00C41EA6">
        <w:t xml:space="preserve">Town of the Blue Mountains </w:t>
      </w:r>
      <w:r>
        <w:t xml:space="preserve">has expressed concerns over the size, indicating that it is substantially larger than what would be permitted if the property was subject to zoning. </w:t>
      </w:r>
      <w:r w:rsidR="007773EB">
        <w:t xml:space="preserve">Per objective 7 of the NEP, the NEC is to support municipalities within the NEP Area in their exercise of the planning functions conferred up them by the Planning Act. Allowing this structure would result in more substantial </w:t>
      </w:r>
      <w:r w:rsidR="007773EB" w:rsidRPr="00C41EA6">
        <w:t xml:space="preserve">development </w:t>
      </w:r>
      <w:r w:rsidR="007773EB" w:rsidRPr="0027693D">
        <w:t>within</w:t>
      </w:r>
      <w:r w:rsidR="007773EB">
        <w:rPr>
          <w:i/>
          <w:iCs/>
        </w:rPr>
        <w:t xml:space="preserve"> </w:t>
      </w:r>
      <w:r w:rsidR="007773EB">
        <w:t>the area of Development Control than what would be allowed within the rest of the municipality, contrary to Objectives 1, 2 and 4 of the NEP.</w:t>
      </w:r>
    </w:p>
    <w:p w14:paraId="7B956B6A" w14:textId="3B622859" w:rsidR="00E755F3" w:rsidRDefault="5D5524E1" w:rsidP="00E755F3">
      <w:pPr>
        <w:pStyle w:val="Heading3"/>
      </w:pPr>
      <w:r>
        <w:t>Related Files:</w:t>
      </w:r>
      <w:r w:rsidR="00166BEF">
        <w:t xml:space="preserve"> </w:t>
      </w:r>
    </w:p>
    <w:p w14:paraId="367A895A" w14:textId="72076F83" w:rsidR="00C20B8F" w:rsidRDefault="00C20B8F" w:rsidP="00C20B8F">
      <w:pPr>
        <w:pStyle w:val="Header"/>
        <w:rPr>
          <w:rFonts w:ascii="Arial" w:hAnsi="Arial" w:cs="Arial"/>
          <w:szCs w:val="24"/>
        </w:rPr>
      </w:pPr>
      <w:r>
        <w:rPr>
          <w:rFonts w:ascii="Arial" w:hAnsi="Arial" w:cs="Arial"/>
          <w:szCs w:val="24"/>
        </w:rPr>
        <w:t xml:space="preserve">G/R/2010-2011/9152 - Conditional Approval issued for </w:t>
      </w:r>
      <w:r w:rsidR="00FE7914">
        <w:rPr>
          <w:rFonts w:ascii="Arial" w:hAnsi="Arial" w:cs="Arial"/>
          <w:szCs w:val="24"/>
        </w:rPr>
        <w:t xml:space="preserve">a </w:t>
      </w:r>
      <w:r>
        <w:rPr>
          <w:rFonts w:ascii="Arial" w:hAnsi="Arial" w:cs="Arial"/>
          <w:szCs w:val="24"/>
        </w:rPr>
        <w:t>697.5 m</w:t>
      </w:r>
      <w:r w:rsidRPr="00451389">
        <w:rPr>
          <w:rFonts w:ascii="Arial" w:hAnsi="Arial" w:cs="Arial"/>
          <w:szCs w:val="24"/>
          <w:vertAlign w:val="superscript"/>
        </w:rPr>
        <w:t>2</w:t>
      </w:r>
      <w:r>
        <w:rPr>
          <w:rFonts w:ascii="Arial" w:hAnsi="Arial" w:cs="Arial"/>
          <w:szCs w:val="24"/>
        </w:rPr>
        <w:t xml:space="preserve"> (7</w:t>
      </w:r>
      <w:r w:rsidR="00C41EA6">
        <w:rPr>
          <w:rFonts w:ascii="Arial" w:hAnsi="Arial" w:cs="Arial"/>
          <w:szCs w:val="24"/>
        </w:rPr>
        <w:t>,</w:t>
      </w:r>
      <w:r>
        <w:rPr>
          <w:rFonts w:ascii="Arial" w:hAnsi="Arial" w:cs="Arial"/>
          <w:szCs w:val="24"/>
        </w:rPr>
        <w:t>500 ft</w:t>
      </w:r>
      <w:r w:rsidRPr="00451389">
        <w:rPr>
          <w:rFonts w:ascii="Arial" w:hAnsi="Arial" w:cs="Arial"/>
          <w:szCs w:val="24"/>
          <w:vertAlign w:val="superscript"/>
        </w:rPr>
        <w:t>2</w:t>
      </w:r>
      <w:r>
        <w:rPr>
          <w:rFonts w:ascii="Arial" w:hAnsi="Arial" w:cs="Arial"/>
          <w:szCs w:val="24"/>
        </w:rPr>
        <w:t xml:space="preserve">) dwelling with attached garage, covered patio and wrap-around verandah. Conditional approval </w:t>
      </w:r>
      <w:r w:rsidR="00893367">
        <w:rPr>
          <w:rFonts w:ascii="Arial" w:hAnsi="Arial" w:cs="Arial"/>
          <w:szCs w:val="24"/>
        </w:rPr>
        <w:t>lapsed;</w:t>
      </w:r>
      <w:r>
        <w:rPr>
          <w:rFonts w:ascii="Arial" w:hAnsi="Arial" w:cs="Arial"/>
          <w:szCs w:val="24"/>
        </w:rPr>
        <w:t xml:space="preserve"> file closed with no permit issued. </w:t>
      </w:r>
    </w:p>
    <w:p w14:paraId="15F403C9" w14:textId="4908A916" w:rsidR="00C20B8F" w:rsidRDefault="00C20B8F" w:rsidP="00C20B8F">
      <w:pPr>
        <w:pStyle w:val="Header"/>
        <w:rPr>
          <w:rFonts w:ascii="Arial" w:hAnsi="Arial" w:cs="Arial"/>
          <w:szCs w:val="24"/>
        </w:rPr>
      </w:pPr>
    </w:p>
    <w:p w14:paraId="4D41F170" w14:textId="695C5209" w:rsidR="00C20B8F" w:rsidRPr="00B64BA7" w:rsidRDefault="00C20B8F" w:rsidP="00C20B8F">
      <w:pPr>
        <w:pStyle w:val="Header"/>
        <w:rPr>
          <w:rFonts w:ascii="Arial" w:hAnsi="Arial" w:cs="Arial"/>
          <w:szCs w:val="24"/>
        </w:rPr>
      </w:pPr>
      <w:r w:rsidRPr="00B64BA7">
        <w:rPr>
          <w:rFonts w:ascii="Arial" w:hAnsi="Arial" w:cs="Arial"/>
          <w:szCs w:val="24"/>
        </w:rPr>
        <w:t>G/R/2011-2012/9041 – Permit issued for a 2 storey, 1</w:t>
      </w:r>
      <w:r w:rsidR="00C41EA6">
        <w:rPr>
          <w:rFonts w:ascii="Arial" w:hAnsi="Arial" w:cs="Arial"/>
          <w:szCs w:val="24"/>
        </w:rPr>
        <w:t>,</w:t>
      </w:r>
      <w:r w:rsidRPr="00B64BA7">
        <w:rPr>
          <w:rFonts w:ascii="Arial" w:hAnsi="Arial" w:cs="Arial"/>
          <w:szCs w:val="24"/>
        </w:rPr>
        <w:t>116 m</w:t>
      </w:r>
      <w:r w:rsidRPr="00B64BA7">
        <w:rPr>
          <w:rFonts w:ascii="Arial" w:hAnsi="Arial" w:cs="Arial"/>
          <w:szCs w:val="24"/>
          <w:vertAlign w:val="superscript"/>
        </w:rPr>
        <w:t>2</w:t>
      </w:r>
      <w:r w:rsidRPr="00B64BA7">
        <w:rPr>
          <w:rFonts w:ascii="Arial" w:hAnsi="Arial" w:cs="Arial"/>
          <w:szCs w:val="24"/>
        </w:rPr>
        <w:t xml:space="preserve"> (12</w:t>
      </w:r>
      <w:r w:rsidR="00C41EA6">
        <w:rPr>
          <w:rFonts w:ascii="Arial" w:hAnsi="Arial" w:cs="Arial"/>
          <w:szCs w:val="24"/>
        </w:rPr>
        <w:t>,</w:t>
      </w:r>
      <w:r w:rsidRPr="00B64BA7">
        <w:rPr>
          <w:rFonts w:ascii="Arial" w:hAnsi="Arial" w:cs="Arial"/>
          <w:szCs w:val="24"/>
        </w:rPr>
        <w:t>000 ft</w:t>
      </w:r>
      <w:r w:rsidRPr="00B64BA7">
        <w:rPr>
          <w:rFonts w:ascii="Arial" w:hAnsi="Arial" w:cs="Arial"/>
          <w:szCs w:val="24"/>
          <w:vertAlign w:val="superscript"/>
        </w:rPr>
        <w:t>2</w:t>
      </w:r>
      <w:r w:rsidRPr="00B64BA7">
        <w:rPr>
          <w:rFonts w:ascii="Arial" w:hAnsi="Arial" w:cs="Arial"/>
          <w:szCs w:val="24"/>
        </w:rPr>
        <w:t>) dwelling including the attached garage and exterior porch/roofed deck, having a maximum h</w:t>
      </w:r>
      <w:r w:rsidR="00C41EA6">
        <w:rPr>
          <w:rFonts w:ascii="Arial" w:hAnsi="Arial" w:cs="Arial"/>
          <w:szCs w:val="24"/>
        </w:rPr>
        <w:t>eigh</w:t>
      </w:r>
      <w:r w:rsidRPr="00B64BA7">
        <w:rPr>
          <w:rFonts w:ascii="Arial" w:hAnsi="Arial" w:cs="Arial"/>
          <w:szCs w:val="24"/>
        </w:rPr>
        <w:t xml:space="preserve">t of 12.2 m (40 ft). </w:t>
      </w:r>
    </w:p>
    <w:p w14:paraId="75D83119" w14:textId="77777777" w:rsidR="00C20B8F" w:rsidRPr="00B64BA7" w:rsidRDefault="00C20B8F" w:rsidP="00C20B8F">
      <w:pPr>
        <w:pStyle w:val="Header"/>
        <w:rPr>
          <w:rFonts w:ascii="Arial" w:hAnsi="Arial" w:cs="Arial"/>
          <w:noProof/>
          <w:szCs w:val="24"/>
        </w:rPr>
      </w:pPr>
    </w:p>
    <w:p w14:paraId="01E07D01" w14:textId="15C412EA" w:rsidR="00C20B8F" w:rsidRPr="00B64BA7" w:rsidRDefault="00C20B8F" w:rsidP="00C20B8F">
      <w:pPr>
        <w:pStyle w:val="Header"/>
        <w:rPr>
          <w:rFonts w:ascii="Arial" w:hAnsi="Arial" w:cs="Arial"/>
          <w:noProof/>
          <w:szCs w:val="24"/>
        </w:rPr>
      </w:pPr>
      <w:r w:rsidRPr="00B64BA7">
        <w:rPr>
          <w:rFonts w:ascii="Arial" w:hAnsi="Arial" w:cs="Arial"/>
          <w:noProof/>
          <w:szCs w:val="24"/>
        </w:rPr>
        <w:t>G/R/2012-2013/9082 – Permit issued for 1 storey, 193.5 m</w:t>
      </w:r>
      <w:r w:rsidRPr="00B64BA7">
        <w:rPr>
          <w:rFonts w:ascii="Arial" w:hAnsi="Arial" w:cs="Arial"/>
          <w:noProof/>
          <w:szCs w:val="24"/>
          <w:vertAlign w:val="superscript"/>
        </w:rPr>
        <w:t>2</w:t>
      </w:r>
      <w:r w:rsidRPr="00B64BA7">
        <w:rPr>
          <w:rFonts w:ascii="Arial" w:hAnsi="Arial" w:cs="Arial"/>
          <w:noProof/>
          <w:szCs w:val="24"/>
        </w:rPr>
        <w:t xml:space="preserve"> (2</w:t>
      </w:r>
      <w:r w:rsidR="00C41EA6">
        <w:rPr>
          <w:rFonts w:ascii="Arial" w:hAnsi="Arial" w:cs="Arial"/>
          <w:noProof/>
          <w:szCs w:val="24"/>
        </w:rPr>
        <w:t>,</w:t>
      </w:r>
      <w:r w:rsidRPr="00B64BA7">
        <w:rPr>
          <w:rFonts w:ascii="Arial" w:hAnsi="Arial" w:cs="Arial"/>
          <w:noProof/>
          <w:szCs w:val="24"/>
        </w:rPr>
        <w:t>081 ft</w:t>
      </w:r>
      <w:r w:rsidRPr="00B64BA7">
        <w:rPr>
          <w:rFonts w:ascii="Arial" w:hAnsi="Arial" w:cs="Arial"/>
          <w:noProof/>
          <w:szCs w:val="24"/>
          <w:vertAlign w:val="superscript"/>
        </w:rPr>
        <w:t>2</w:t>
      </w:r>
      <w:r w:rsidRPr="00B64BA7">
        <w:rPr>
          <w:rFonts w:ascii="Arial" w:hAnsi="Arial" w:cs="Arial"/>
          <w:noProof/>
          <w:szCs w:val="24"/>
        </w:rPr>
        <w:t>) addition (enclosed swimming pool), having a maximum</w:t>
      </w:r>
      <w:r w:rsidR="00DF39F8" w:rsidRPr="00B64BA7">
        <w:rPr>
          <w:rFonts w:ascii="Arial" w:hAnsi="Arial" w:cs="Arial"/>
          <w:noProof/>
          <w:szCs w:val="24"/>
        </w:rPr>
        <w:t xml:space="preserve"> </w:t>
      </w:r>
      <w:r w:rsidRPr="00B64BA7">
        <w:rPr>
          <w:rFonts w:ascii="Arial" w:hAnsi="Arial" w:cs="Arial"/>
          <w:noProof/>
          <w:szCs w:val="24"/>
        </w:rPr>
        <w:t xml:space="preserve">ht of 7.6 m (25 ft), to the west side of dwelling. </w:t>
      </w:r>
    </w:p>
    <w:p w14:paraId="59C1FFC6" w14:textId="027E37AF" w:rsidR="00C95E37" w:rsidRPr="00B64BA7" w:rsidRDefault="00C95E37" w:rsidP="00C20B8F">
      <w:pPr>
        <w:pStyle w:val="Header"/>
        <w:rPr>
          <w:rFonts w:ascii="Arial" w:hAnsi="Arial" w:cs="Arial"/>
          <w:noProof/>
          <w:szCs w:val="24"/>
        </w:rPr>
      </w:pPr>
    </w:p>
    <w:p w14:paraId="4277B142" w14:textId="6B2D5C2C" w:rsidR="00B64BA7" w:rsidRPr="00B64BA7" w:rsidRDefault="00B64BA7" w:rsidP="00C95E37">
      <w:pPr>
        <w:tabs>
          <w:tab w:val="left" w:pos="1080"/>
        </w:tabs>
        <w:suppressAutoHyphens/>
        <w:ind w:right="864"/>
        <w:rPr>
          <w:rFonts w:ascii="Arial" w:hAnsi="Arial" w:cs="Arial"/>
          <w:szCs w:val="24"/>
        </w:rPr>
      </w:pPr>
      <w:r w:rsidRPr="00B64BA7">
        <w:rPr>
          <w:rFonts w:ascii="Arial" w:hAnsi="Arial" w:cs="Arial"/>
          <w:szCs w:val="24"/>
        </w:rPr>
        <w:t>Adjacent Lot to East (Owned by Helen Bambrough)</w:t>
      </w:r>
    </w:p>
    <w:p w14:paraId="6BB350CB" w14:textId="5C82520A" w:rsidR="00C95E37" w:rsidRPr="00B64BA7" w:rsidRDefault="00C95E37" w:rsidP="00C95E37">
      <w:pPr>
        <w:tabs>
          <w:tab w:val="left" w:pos="1080"/>
        </w:tabs>
        <w:suppressAutoHyphens/>
        <w:ind w:right="864"/>
        <w:rPr>
          <w:rFonts w:ascii="Arial" w:hAnsi="Arial"/>
          <w:noProof/>
          <w:spacing w:val="-3"/>
          <w:szCs w:val="24"/>
          <w:lang w:val="en-GB"/>
        </w:rPr>
      </w:pPr>
      <w:r w:rsidRPr="00B64BA7">
        <w:rPr>
          <w:rFonts w:ascii="Arial" w:hAnsi="Arial" w:cs="Arial"/>
          <w:szCs w:val="24"/>
        </w:rPr>
        <w:t xml:space="preserve">G/R/2009-2010/9099 – Permit issued for </w:t>
      </w:r>
      <w:r w:rsidRPr="00B64BA7">
        <w:rPr>
          <w:rFonts w:ascii="Arial" w:hAnsi="Arial"/>
          <w:noProof/>
          <w:spacing w:val="-3"/>
          <w:szCs w:val="24"/>
          <w:lang w:val="en-GB"/>
        </w:rPr>
        <w:t>a 1½ storey, 403.5 sq m (4</w:t>
      </w:r>
      <w:r w:rsidR="00C41EA6">
        <w:rPr>
          <w:rFonts w:ascii="Arial" w:hAnsi="Arial"/>
          <w:noProof/>
          <w:spacing w:val="-3"/>
          <w:szCs w:val="24"/>
          <w:lang w:val="en-GB"/>
        </w:rPr>
        <w:t>,</w:t>
      </w:r>
      <w:r w:rsidRPr="00B64BA7">
        <w:rPr>
          <w:rFonts w:ascii="Arial" w:hAnsi="Arial"/>
          <w:noProof/>
          <w:spacing w:val="-3"/>
          <w:szCs w:val="24"/>
          <w:lang w:val="en-GB"/>
        </w:rPr>
        <w:t>339 sq ft) dwelling with partial walkout, having a maximum height of 10.2 m (33.3 ft); a private sewage disposal system, a new driveway entrance from the 6th Concession and a new driveway</w:t>
      </w:r>
      <w:r w:rsidR="00C41EA6">
        <w:rPr>
          <w:rFonts w:ascii="Arial" w:hAnsi="Arial"/>
          <w:noProof/>
          <w:spacing w:val="-3"/>
          <w:szCs w:val="24"/>
          <w:lang w:val="en-GB"/>
        </w:rPr>
        <w:t>.</w:t>
      </w:r>
    </w:p>
    <w:p w14:paraId="592F5ECD" w14:textId="5DEA821C" w:rsidR="00C95E37" w:rsidRPr="00E72832" w:rsidRDefault="00C95E37" w:rsidP="00C95E37">
      <w:pPr>
        <w:widowControl w:val="0"/>
        <w:tabs>
          <w:tab w:val="num" w:pos="360"/>
          <w:tab w:val="left" w:pos="900"/>
          <w:tab w:val="left" w:pos="1260"/>
        </w:tabs>
        <w:suppressAutoHyphens/>
        <w:spacing w:after="0" w:line="240" w:lineRule="auto"/>
        <w:ind w:right="864"/>
        <w:rPr>
          <w:rFonts w:ascii="Arial" w:hAnsi="Arial"/>
          <w:spacing w:val="-3"/>
          <w:szCs w:val="24"/>
          <w:lang w:val="en-GB"/>
        </w:rPr>
      </w:pPr>
      <w:r w:rsidRPr="00B64BA7">
        <w:rPr>
          <w:rFonts w:ascii="Arial" w:hAnsi="Arial" w:cs="Arial"/>
          <w:szCs w:val="24"/>
        </w:rPr>
        <w:t xml:space="preserve">G/R/2010-2011/9020 – Permit issued </w:t>
      </w:r>
      <w:r w:rsidR="003E19A0">
        <w:rPr>
          <w:rFonts w:ascii="Arial" w:hAnsi="Arial" w:cs="Arial"/>
          <w:szCs w:val="24"/>
        </w:rPr>
        <w:t xml:space="preserve">(Director approval) </w:t>
      </w:r>
      <w:r w:rsidRPr="00B64BA7">
        <w:rPr>
          <w:rFonts w:ascii="Arial" w:hAnsi="Arial" w:cs="Arial"/>
          <w:szCs w:val="24"/>
        </w:rPr>
        <w:t xml:space="preserve">for a </w:t>
      </w:r>
      <w:r w:rsidRPr="00B64BA7">
        <w:rPr>
          <w:rFonts w:ascii="Arial" w:hAnsi="Arial" w:cs="Arial"/>
          <w:noProof/>
          <w:spacing w:val="-3"/>
          <w:szCs w:val="24"/>
          <w:lang w:val="en-GB"/>
        </w:rPr>
        <w:t>665 sq m (7</w:t>
      </w:r>
      <w:r w:rsidR="00C41EA6">
        <w:rPr>
          <w:rFonts w:ascii="Arial" w:hAnsi="Arial" w:cs="Arial"/>
          <w:noProof/>
          <w:spacing w:val="-3"/>
          <w:szCs w:val="24"/>
          <w:lang w:val="en-GB"/>
        </w:rPr>
        <w:t>,</w:t>
      </w:r>
      <w:r w:rsidRPr="00B64BA7">
        <w:rPr>
          <w:rFonts w:ascii="Arial" w:hAnsi="Arial" w:cs="Arial"/>
          <w:noProof/>
          <w:spacing w:val="-3"/>
          <w:szCs w:val="24"/>
          <w:lang w:val="en-GB"/>
        </w:rPr>
        <w:t xml:space="preserve">152 sq ft) accessory building, in four parts, which included </w:t>
      </w:r>
      <w:r w:rsidRPr="00B64BA7">
        <w:rPr>
          <w:rFonts w:ascii="Arial" w:hAnsi="Arial"/>
          <w:noProof/>
          <w:spacing w:val="-3"/>
          <w:szCs w:val="24"/>
          <w:lang w:val="en-GB"/>
        </w:rPr>
        <w:t>a 436.6 sq m (4</w:t>
      </w:r>
      <w:r w:rsidR="00C41EA6">
        <w:rPr>
          <w:rFonts w:ascii="Arial" w:hAnsi="Arial"/>
          <w:noProof/>
          <w:spacing w:val="-3"/>
          <w:szCs w:val="24"/>
          <w:lang w:val="en-GB"/>
        </w:rPr>
        <w:t>,</w:t>
      </w:r>
      <w:r w:rsidRPr="00B64BA7">
        <w:rPr>
          <w:rFonts w:ascii="Arial" w:hAnsi="Arial"/>
          <w:noProof/>
          <w:spacing w:val="-3"/>
          <w:szCs w:val="24"/>
          <w:lang w:val="en-GB"/>
        </w:rPr>
        <w:t>695 sq ft) arena section having a maximum height of 8.5 m (28 ft), to be used as a private, multi-use arena for a three</w:t>
      </w:r>
      <w:r w:rsidR="00C41EA6">
        <w:rPr>
          <w:rFonts w:ascii="Arial" w:hAnsi="Arial"/>
          <w:noProof/>
          <w:spacing w:val="-3"/>
          <w:szCs w:val="24"/>
          <w:lang w:val="en-GB"/>
        </w:rPr>
        <w:t>-</w:t>
      </w:r>
      <w:r w:rsidRPr="00B64BA7">
        <w:rPr>
          <w:rFonts w:ascii="Arial" w:hAnsi="Arial"/>
          <w:noProof/>
          <w:spacing w:val="-3"/>
          <w:szCs w:val="24"/>
          <w:lang w:val="en-GB"/>
        </w:rPr>
        <w:t>on</w:t>
      </w:r>
      <w:r w:rsidR="00C41EA6">
        <w:rPr>
          <w:rFonts w:ascii="Arial" w:hAnsi="Arial"/>
          <w:noProof/>
          <w:spacing w:val="-3"/>
          <w:szCs w:val="24"/>
          <w:lang w:val="en-GB"/>
        </w:rPr>
        <w:t>-</w:t>
      </w:r>
      <w:r w:rsidRPr="00B64BA7">
        <w:rPr>
          <w:rFonts w:ascii="Arial" w:hAnsi="Arial"/>
          <w:noProof/>
          <w:spacing w:val="-3"/>
          <w:szCs w:val="24"/>
          <w:lang w:val="en-GB"/>
        </w:rPr>
        <w:t>three hockey rink in winter and tennis in summer; a 73 sq m (791 sq ft) utility room attached to the arena section to house the Zamboni, a 1½</w:t>
      </w:r>
      <w:r w:rsidRPr="00D13E97">
        <w:rPr>
          <w:rFonts w:ascii="Arial" w:hAnsi="Arial"/>
          <w:noProof/>
          <w:spacing w:val="-3"/>
          <w:szCs w:val="24"/>
          <w:lang w:val="en-GB"/>
        </w:rPr>
        <w:t xml:space="preserve"> storey, </w:t>
      </w:r>
      <w:r>
        <w:rPr>
          <w:rFonts w:ascii="Arial" w:hAnsi="Arial"/>
          <w:noProof/>
          <w:spacing w:val="-3"/>
          <w:szCs w:val="24"/>
          <w:lang w:val="en-GB"/>
        </w:rPr>
        <w:t>120</w:t>
      </w:r>
      <w:r w:rsidRPr="00D13E97">
        <w:rPr>
          <w:rFonts w:ascii="Arial" w:hAnsi="Arial"/>
          <w:noProof/>
          <w:spacing w:val="-3"/>
          <w:szCs w:val="24"/>
          <w:lang w:val="en-GB"/>
        </w:rPr>
        <w:t xml:space="preserve"> sq m (±</w:t>
      </w:r>
      <w:r>
        <w:rPr>
          <w:rFonts w:ascii="Arial" w:hAnsi="Arial"/>
          <w:noProof/>
          <w:spacing w:val="-3"/>
          <w:szCs w:val="24"/>
          <w:lang w:val="en-GB"/>
        </w:rPr>
        <w:t>1</w:t>
      </w:r>
      <w:r w:rsidR="00C41EA6">
        <w:rPr>
          <w:rFonts w:ascii="Arial" w:hAnsi="Arial"/>
          <w:noProof/>
          <w:spacing w:val="-3"/>
          <w:szCs w:val="24"/>
          <w:lang w:val="en-GB"/>
        </w:rPr>
        <w:t>,</w:t>
      </w:r>
      <w:r>
        <w:rPr>
          <w:rFonts w:ascii="Arial" w:hAnsi="Arial"/>
          <w:noProof/>
          <w:spacing w:val="-3"/>
          <w:szCs w:val="24"/>
          <w:lang w:val="en-GB"/>
        </w:rPr>
        <w:t>296</w:t>
      </w:r>
      <w:r w:rsidRPr="00D13E97">
        <w:rPr>
          <w:rFonts w:ascii="Arial" w:hAnsi="Arial"/>
          <w:noProof/>
          <w:spacing w:val="-3"/>
          <w:szCs w:val="24"/>
          <w:lang w:val="en-GB"/>
        </w:rPr>
        <w:t xml:space="preserve"> sq ft) storage barn section, having a maximum height of 8.5 m (28 ft), with an open loft, to be used for storage for ice making and maintaining equipment, and for a change room, two piece washroom, showers, and a steam room</w:t>
      </w:r>
      <w:r>
        <w:rPr>
          <w:rFonts w:ascii="Arial" w:hAnsi="Arial"/>
          <w:noProof/>
          <w:spacing w:val="-3"/>
          <w:szCs w:val="24"/>
          <w:lang w:val="en-GB"/>
        </w:rPr>
        <w:t xml:space="preserve"> and a</w:t>
      </w:r>
      <w:r w:rsidRPr="00D13E97">
        <w:rPr>
          <w:rFonts w:ascii="Arial" w:hAnsi="Arial"/>
          <w:noProof/>
          <w:spacing w:val="-3"/>
          <w:szCs w:val="24"/>
          <w:lang w:val="en-GB"/>
        </w:rPr>
        <w:t xml:space="preserve"> </w:t>
      </w:r>
      <w:r>
        <w:rPr>
          <w:rFonts w:ascii="Arial" w:hAnsi="Arial"/>
          <w:noProof/>
          <w:spacing w:val="-3"/>
          <w:szCs w:val="24"/>
          <w:lang w:val="en-GB"/>
        </w:rPr>
        <w:t>34</w:t>
      </w:r>
      <w:r w:rsidRPr="00D13E97">
        <w:rPr>
          <w:rFonts w:ascii="Arial" w:hAnsi="Arial"/>
          <w:noProof/>
          <w:spacing w:val="-3"/>
          <w:szCs w:val="24"/>
          <w:lang w:val="en-GB"/>
        </w:rPr>
        <w:t xml:space="preserve"> sq m (</w:t>
      </w:r>
      <w:r>
        <w:rPr>
          <w:rFonts w:ascii="Arial" w:hAnsi="Arial"/>
          <w:noProof/>
          <w:spacing w:val="-3"/>
          <w:szCs w:val="24"/>
          <w:lang w:val="en-GB"/>
        </w:rPr>
        <w:t>370</w:t>
      </w:r>
      <w:r w:rsidRPr="00D13E97">
        <w:rPr>
          <w:rFonts w:ascii="Arial" w:hAnsi="Arial"/>
          <w:noProof/>
          <w:spacing w:val="-3"/>
          <w:szCs w:val="24"/>
          <w:lang w:val="en-GB"/>
        </w:rPr>
        <w:t xml:space="preserve"> sq ft) connecting section to be used as a bar and viewing area</w:t>
      </w:r>
      <w:r>
        <w:rPr>
          <w:rFonts w:ascii="Arial" w:hAnsi="Arial"/>
          <w:noProof/>
          <w:spacing w:val="-3"/>
          <w:szCs w:val="24"/>
          <w:lang w:val="en-GB"/>
        </w:rPr>
        <w:t xml:space="preserve"> plus installation of </w:t>
      </w:r>
      <w:r w:rsidRPr="00D13E97">
        <w:rPr>
          <w:rFonts w:ascii="Arial" w:hAnsi="Arial" w:cs="Arial"/>
          <w:noProof/>
          <w:spacing w:val="-3"/>
          <w:szCs w:val="24"/>
          <w:lang w:val="en-GB"/>
        </w:rPr>
        <w:t xml:space="preserve">a private sewage disposal </w:t>
      </w:r>
      <w:r w:rsidRPr="00D13E97">
        <w:rPr>
          <w:rFonts w:ascii="Arial" w:hAnsi="Arial"/>
          <w:noProof/>
          <w:spacing w:val="-3"/>
          <w:szCs w:val="24"/>
          <w:lang w:val="en-GB"/>
        </w:rPr>
        <w:t>system for the arena</w:t>
      </w:r>
      <w:r>
        <w:rPr>
          <w:rFonts w:ascii="Arial" w:hAnsi="Arial"/>
          <w:noProof/>
          <w:spacing w:val="-3"/>
          <w:szCs w:val="24"/>
          <w:lang w:val="en-GB"/>
        </w:rPr>
        <w:t xml:space="preserve"> and an extend</w:t>
      </w:r>
      <w:r w:rsidR="00C81944">
        <w:rPr>
          <w:rFonts w:ascii="Arial" w:hAnsi="Arial"/>
          <w:noProof/>
          <w:spacing w:val="-3"/>
          <w:szCs w:val="24"/>
          <w:lang w:val="en-GB"/>
        </w:rPr>
        <w:t>ed</w:t>
      </w:r>
      <w:r>
        <w:rPr>
          <w:rFonts w:ascii="Arial" w:hAnsi="Arial"/>
          <w:noProof/>
          <w:spacing w:val="-3"/>
          <w:szCs w:val="24"/>
          <w:lang w:val="en-GB"/>
        </w:rPr>
        <w:t xml:space="preserve"> driveway to the accessory building.</w:t>
      </w:r>
    </w:p>
    <w:p w14:paraId="0954BD69" w14:textId="77777777" w:rsidR="00C95E37" w:rsidRPr="00D13E97" w:rsidRDefault="00C95E37" w:rsidP="00C95E37">
      <w:pPr>
        <w:widowControl w:val="0"/>
        <w:tabs>
          <w:tab w:val="left" w:pos="900"/>
          <w:tab w:val="left" w:pos="1260"/>
        </w:tabs>
        <w:suppressAutoHyphens/>
        <w:spacing w:after="0" w:line="240" w:lineRule="auto"/>
        <w:ind w:right="864"/>
        <w:rPr>
          <w:rFonts w:ascii="Arial" w:hAnsi="Arial"/>
          <w:noProof/>
          <w:spacing w:val="-3"/>
          <w:szCs w:val="24"/>
          <w:lang w:val="en-GB"/>
        </w:rPr>
      </w:pPr>
    </w:p>
    <w:p w14:paraId="12F31DF1" w14:textId="6D88D1EB" w:rsidR="00C95E37" w:rsidRDefault="00C95E37" w:rsidP="00C95E37">
      <w:pPr>
        <w:suppressAutoHyphens/>
        <w:ind w:right="862"/>
        <w:rPr>
          <w:rFonts w:ascii="Arial" w:hAnsi="Arial"/>
          <w:noProof/>
          <w:spacing w:val="-3"/>
          <w:szCs w:val="24"/>
          <w:lang w:val="en-GB"/>
        </w:rPr>
      </w:pPr>
      <w:r w:rsidRPr="00B64BA7">
        <w:rPr>
          <w:rFonts w:ascii="Arial" w:hAnsi="Arial" w:cs="Arial"/>
          <w:szCs w:val="24"/>
        </w:rPr>
        <w:t xml:space="preserve">G/R/2012-2013/9041 – permit to </w:t>
      </w:r>
      <w:r w:rsidRPr="00B64BA7">
        <w:rPr>
          <w:rFonts w:ascii="Arial" w:hAnsi="Arial"/>
          <w:noProof/>
          <w:spacing w:val="-3"/>
          <w:szCs w:val="24"/>
          <w:lang w:val="en-GB"/>
        </w:rPr>
        <w:t>construct a  66.4 sq m (714 sq ft) deck on the</w:t>
      </w:r>
      <w:r>
        <w:rPr>
          <w:rFonts w:ascii="Arial" w:hAnsi="Arial"/>
          <w:noProof/>
          <w:spacing w:val="-3"/>
          <w:szCs w:val="24"/>
          <w:lang w:val="en-GB"/>
        </w:rPr>
        <w:t xml:space="preserve"> </w:t>
      </w:r>
      <w:r w:rsidRPr="00434560">
        <w:rPr>
          <w:rFonts w:ascii="Arial" w:hAnsi="Arial"/>
          <w:noProof/>
          <w:spacing w:val="-3"/>
          <w:szCs w:val="24"/>
          <w:lang w:val="en-GB"/>
        </w:rPr>
        <w:t>southeast side of the existing dwelling.</w:t>
      </w:r>
    </w:p>
    <w:p w14:paraId="58FF7CD5" w14:textId="34428011" w:rsidR="00DC1E0D" w:rsidRDefault="00DC1E0D" w:rsidP="00C20B8F">
      <w:pPr>
        <w:pStyle w:val="Header"/>
        <w:rPr>
          <w:rFonts w:ascii="Arial" w:hAnsi="Arial" w:cs="Arial"/>
          <w:szCs w:val="24"/>
        </w:rPr>
      </w:pPr>
      <w:r>
        <w:rPr>
          <w:rFonts w:ascii="Arial" w:hAnsi="Arial" w:cs="Arial"/>
          <w:noProof/>
          <w:szCs w:val="24"/>
        </w:rPr>
        <w:t xml:space="preserve">                                                                                                                                                                  </w:t>
      </w:r>
    </w:p>
    <w:p w14:paraId="444A92BF" w14:textId="0AA17A81" w:rsidR="00E755F3" w:rsidRDefault="00E755F3" w:rsidP="00E755F3">
      <w:pPr>
        <w:pStyle w:val="Heading3"/>
      </w:pPr>
      <w:r>
        <w:t>Site Description:</w:t>
      </w:r>
    </w:p>
    <w:p w14:paraId="7BEC8758" w14:textId="31E4D2CF" w:rsidR="00E755F3" w:rsidRDefault="00BC2803" w:rsidP="00E755F3">
      <w:pPr>
        <w:rPr>
          <w:rFonts w:cstheme="minorHAnsi"/>
          <w:lang w:val="en-US"/>
        </w:rPr>
      </w:pPr>
      <w:r>
        <w:rPr>
          <w:rFonts w:cstheme="minorHAnsi"/>
          <w:lang w:val="en-US"/>
        </w:rPr>
        <w:t xml:space="preserve">The property is located near </w:t>
      </w:r>
      <w:r w:rsidR="00D64D75">
        <w:rPr>
          <w:rFonts w:cstheme="minorHAnsi"/>
          <w:lang w:val="en-US"/>
        </w:rPr>
        <w:t xml:space="preserve">the hamlet of </w:t>
      </w:r>
      <w:r w:rsidR="00C41EA6">
        <w:rPr>
          <w:rFonts w:cstheme="minorHAnsi"/>
          <w:lang w:val="en-US"/>
        </w:rPr>
        <w:t>Gibraltar</w:t>
      </w:r>
      <w:r>
        <w:rPr>
          <w:rFonts w:cstheme="minorHAnsi"/>
          <w:lang w:val="en-US"/>
        </w:rPr>
        <w:t xml:space="preserve">, and immediately north of Pretty River Valley Provincial Park. </w:t>
      </w:r>
      <w:r w:rsidR="003E5CB1">
        <w:rPr>
          <w:rFonts w:cstheme="minorHAnsi"/>
          <w:lang w:val="en-US"/>
        </w:rPr>
        <w:t>The frontage is</w:t>
      </w:r>
      <w:r w:rsidR="005E2B39">
        <w:rPr>
          <w:rFonts w:cstheme="minorHAnsi"/>
          <w:lang w:val="en-US"/>
        </w:rPr>
        <w:t xml:space="preserve"> well-treed, </w:t>
      </w:r>
      <w:r w:rsidR="00C81944">
        <w:rPr>
          <w:rFonts w:cstheme="minorHAnsi"/>
          <w:lang w:val="en-US"/>
        </w:rPr>
        <w:t xml:space="preserve">with </w:t>
      </w:r>
      <w:r w:rsidR="005E2B39">
        <w:rPr>
          <w:rFonts w:cstheme="minorHAnsi"/>
          <w:lang w:val="en-US"/>
        </w:rPr>
        <w:t xml:space="preserve">most of the </w:t>
      </w:r>
      <w:r w:rsidR="002368DC">
        <w:rPr>
          <w:rFonts w:cstheme="minorHAnsi"/>
          <w:lang w:val="en-US"/>
        </w:rPr>
        <w:t>property</w:t>
      </w:r>
      <w:r w:rsidR="005E2B39">
        <w:rPr>
          <w:rFonts w:cstheme="minorHAnsi"/>
          <w:lang w:val="en-US"/>
        </w:rPr>
        <w:t xml:space="preserve"> </w:t>
      </w:r>
      <w:r w:rsidR="00C81944">
        <w:rPr>
          <w:rFonts w:cstheme="minorHAnsi"/>
          <w:lang w:val="en-US"/>
        </w:rPr>
        <w:t xml:space="preserve">screened </w:t>
      </w:r>
      <w:r w:rsidR="005E2B39">
        <w:rPr>
          <w:rFonts w:cstheme="minorHAnsi"/>
          <w:lang w:val="en-US"/>
        </w:rPr>
        <w:t xml:space="preserve">from the road except for </w:t>
      </w:r>
      <w:r w:rsidR="002368DC">
        <w:rPr>
          <w:rFonts w:cstheme="minorHAnsi"/>
          <w:lang w:val="en-US"/>
        </w:rPr>
        <w:t xml:space="preserve">at </w:t>
      </w:r>
      <w:r w:rsidR="005E2B39">
        <w:rPr>
          <w:rFonts w:cstheme="minorHAnsi"/>
          <w:lang w:val="en-US"/>
        </w:rPr>
        <w:t xml:space="preserve">the driveway entrance. </w:t>
      </w:r>
      <w:r>
        <w:rPr>
          <w:rFonts w:cstheme="minorHAnsi"/>
          <w:lang w:val="en-US"/>
        </w:rPr>
        <w:t>The central portion of the property is open, consisting of open fields (unmanaged grassland)</w:t>
      </w:r>
      <w:r w:rsidR="003E5CB1">
        <w:rPr>
          <w:rFonts w:cstheme="minorHAnsi"/>
          <w:lang w:val="en-US"/>
        </w:rPr>
        <w:t>, a small pond/wetland</w:t>
      </w:r>
      <w:r>
        <w:rPr>
          <w:rFonts w:cstheme="minorHAnsi"/>
          <w:lang w:val="en-US"/>
        </w:rPr>
        <w:t xml:space="preserve"> and the existing dwelling. The location of the proposed accessory structure</w:t>
      </w:r>
      <w:r w:rsidR="005E2B39">
        <w:rPr>
          <w:rFonts w:cstheme="minorHAnsi"/>
          <w:lang w:val="en-US"/>
        </w:rPr>
        <w:t xml:space="preserve"> and most of the northern and north-western portion of the property </w:t>
      </w:r>
      <w:r>
        <w:rPr>
          <w:rFonts w:cstheme="minorHAnsi"/>
          <w:lang w:val="en-US"/>
        </w:rPr>
        <w:t>is within an abandoned aggregate pit that is dominated by grassy</w:t>
      </w:r>
      <w:r w:rsidR="005E2B39">
        <w:rPr>
          <w:rFonts w:cstheme="minorHAnsi"/>
          <w:lang w:val="en-US"/>
        </w:rPr>
        <w:t>,</w:t>
      </w:r>
      <w:r>
        <w:rPr>
          <w:rFonts w:cstheme="minorHAnsi"/>
          <w:lang w:val="en-US"/>
        </w:rPr>
        <w:t xml:space="preserve"> </w:t>
      </w:r>
      <w:r w:rsidR="00893367">
        <w:rPr>
          <w:rFonts w:cstheme="minorHAnsi"/>
          <w:lang w:val="en-US"/>
        </w:rPr>
        <w:t>weedy,</w:t>
      </w:r>
      <w:r>
        <w:rPr>
          <w:rFonts w:cstheme="minorHAnsi"/>
          <w:lang w:val="en-US"/>
        </w:rPr>
        <w:t xml:space="preserve"> </w:t>
      </w:r>
      <w:r w:rsidR="005E2B39">
        <w:rPr>
          <w:rFonts w:cstheme="minorHAnsi"/>
          <w:lang w:val="en-US"/>
        </w:rPr>
        <w:t xml:space="preserve">and shrubby </w:t>
      </w:r>
      <w:r>
        <w:rPr>
          <w:rFonts w:cstheme="minorHAnsi"/>
          <w:lang w:val="en-US"/>
        </w:rPr>
        <w:t xml:space="preserve">vegetation. This area is lower in elevation than the frontage and </w:t>
      </w:r>
      <w:r w:rsidR="00FE7914">
        <w:rPr>
          <w:rFonts w:cstheme="minorHAnsi"/>
          <w:lang w:val="en-US"/>
        </w:rPr>
        <w:t xml:space="preserve">the </w:t>
      </w:r>
      <w:r>
        <w:rPr>
          <w:rFonts w:cstheme="minorHAnsi"/>
          <w:lang w:val="en-US"/>
        </w:rPr>
        <w:t xml:space="preserve">area containing the dwelling. </w:t>
      </w:r>
      <w:r w:rsidR="002368DC">
        <w:rPr>
          <w:rFonts w:cstheme="minorHAnsi"/>
          <w:lang w:val="en-US"/>
        </w:rPr>
        <w:t xml:space="preserve">Forest (significant woodlands) is present less </w:t>
      </w:r>
      <w:r w:rsidR="005E2B39">
        <w:rPr>
          <w:rFonts w:cstheme="minorHAnsi"/>
          <w:lang w:val="en-US"/>
        </w:rPr>
        <w:t>than 1</w:t>
      </w:r>
      <w:r w:rsidR="00FE7914">
        <w:rPr>
          <w:rFonts w:cstheme="minorHAnsi"/>
          <w:lang w:val="en-US"/>
        </w:rPr>
        <w:t>2</w:t>
      </w:r>
      <w:r w:rsidR="005E2B39">
        <w:rPr>
          <w:rFonts w:cstheme="minorHAnsi"/>
          <w:lang w:val="en-US"/>
        </w:rPr>
        <w:t>0 m to the east of the proposed building location</w:t>
      </w:r>
      <w:r>
        <w:rPr>
          <w:rFonts w:cstheme="minorHAnsi"/>
          <w:lang w:val="en-US"/>
        </w:rPr>
        <w:t xml:space="preserve">. </w:t>
      </w:r>
    </w:p>
    <w:p w14:paraId="36588803" w14:textId="27AE5BC1" w:rsidR="002368DC" w:rsidRDefault="002368DC" w:rsidP="00E755F3">
      <w:pPr>
        <w:rPr>
          <w:rFonts w:cstheme="minorHAnsi"/>
          <w:lang w:val="en-US"/>
        </w:rPr>
      </w:pPr>
      <w:r>
        <w:rPr>
          <w:rFonts w:cstheme="minorHAnsi"/>
          <w:lang w:val="en-US"/>
        </w:rPr>
        <w:t xml:space="preserve">Much of the proposed footprint of the accessory structure is currently </w:t>
      </w:r>
      <w:r w:rsidR="006136F4">
        <w:rPr>
          <w:rFonts w:cstheme="minorHAnsi"/>
          <w:lang w:val="en-US"/>
        </w:rPr>
        <w:t xml:space="preserve">used as </w:t>
      </w:r>
      <w:r>
        <w:rPr>
          <w:rFonts w:cstheme="minorHAnsi"/>
          <w:lang w:val="en-US"/>
        </w:rPr>
        <w:t xml:space="preserve">driveway/parking area within the abandoned gravel pit, with numerous </w:t>
      </w:r>
      <w:r w:rsidR="00C81944">
        <w:rPr>
          <w:rFonts w:cstheme="minorHAnsi"/>
          <w:lang w:val="en-US"/>
        </w:rPr>
        <w:t xml:space="preserve">unapproved </w:t>
      </w:r>
      <w:r>
        <w:rPr>
          <w:rFonts w:cstheme="minorHAnsi"/>
          <w:lang w:val="en-US"/>
        </w:rPr>
        <w:t>“</w:t>
      </w:r>
      <w:r w:rsidR="00893367">
        <w:rPr>
          <w:rFonts w:cstheme="minorHAnsi"/>
          <w:lang w:val="en-US"/>
        </w:rPr>
        <w:t>sea can</w:t>
      </w:r>
      <w:r>
        <w:rPr>
          <w:rFonts w:cstheme="minorHAnsi"/>
          <w:lang w:val="en-US"/>
        </w:rPr>
        <w:t xml:space="preserve">” storage units currently being used to store items that will be stored in the proposed </w:t>
      </w:r>
      <w:r>
        <w:rPr>
          <w:rFonts w:cstheme="minorHAnsi"/>
          <w:lang w:val="en-US"/>
        </w:rPr>
        <w:lastRenderedPageBreak/>
        <w:t xml:space="preserve">structure if approved. </w:t>
      </w:r>
      <w:r w:rsidR="008C3C08">
        <w:rPr>
          <w:rFonts w:cstheme="minorHAnsi"/>
          <w:lang w:val="en-US"/>
        </w:rPr>
        <w:t>An outdoor volleyball court and gazebo are located immediately beside the location of the proposed structure.</w:t>
      </w:r>
    </w:p>
    <w:p w14:paraId="6E178854" w14:textId="4CC63678" w:rsidR="00AE1BAF" w:rsidRDefault="00C7752A" w:rsidP="00B704C9">
      <w:r w:rsidRPr="00B704C9">
        <w:rPr>
          <w:b/>
          <w:bCs/>
        </w:rPr>
        <w:t>Background</w:t>
      </w:r>
      <w:r w:rsidRPr="13E7CEDC">
        <w:t>:</w:t>
      </w:r>
    </w:p>
    <w:p w14:paraId="225845AF" w14:textId="2ADDB11F" w:rsidR="00FE7914" w:rsidRDefault="00FE7914" w:rsidP="00FE7914">
      <w:pPr>
        <w:spacing w:after="0" w:line="240" w:lineRule="auto"/>
        <w:rPr>
          <w:rFonts w:ascii="Arial" w:eastAsia="Times New Roman" w:hAnsi="Arial" w:cs="Arial"/>
          <w:noProof/>
          <w:szCs w:val="24"/>
        </w:rPr>
      </w:pPr>
      <w:r>
        <w:rPr>
          <w:lang w:val="en-US"/>
        </w:rPr>
        <w:t xml:space="preserve">The subject property is located at </w:t>
      </w:r>
      <w:r>
        <w:rPr>
          <w:rFonts w:ascii="Arial" w:eastAsia="Times New Roman" w:hAnsi="Arial" w:cs="Arial"/>
          <w:noProof/>
          <w:szCs w:val="24"/>
        </w:rPr>
        <w:t>569649 6</w:t>
      </w:r>
      <w:r w:rsidRPr="00616591">
        <w:rPr>
          <w:rFonts w:ascii="Arial" w:eastAsia="Times New Roman" w:hAnsi="Arial" w:cs="Arial"/>
          <w:noProof/>
          <w:szCs w:val="24"/>
          <w:vertAlign w:val="superscript"/>
        </w:rPr>
        <w:t>th</w:t>
      </w:r>
      <w:r>
        <w:rPr>
          <w:rFonts w:ascii="Arial" w:eastAsia="Times New Roman" w:hAnsi="Arial" w:cs="Arial"/>
          <w:noProof/>
          <w:szCs w:val="24"/>
        </w:rPr>
        <w:t xml:space="preserve"> Sideroad in the Town of the Blue Mountains, and is within two designations under the NEP</w:t>
      </w:r>
      <w:r w:rsidR="00D64D75">
        <w:rPr>
          <w:rFonts w:ascii="Arial" w:eastAsia="Times New Roman" w:hAnsi="Arial" w:cs="Arial"/>
          <w:noProof/>
          <w:szCs w:val="24"/>
        </w:rPr>
        <w:t>:</w:t>
      </w:r>
      <w:r w:rsidR="0027693D">
        <w:rPr>
          <w:rFonts w:ascii="Arial" w:eastAsia="Times New Roman" w:hAnsi="Arial" w:cs="Arial"/>
          <w:noProof/>
          <w:szCs w:val="24"/>
        </w:rPr>
        <w:t xml:space="preserve"> </w:t>
      </w:r>
      <w:r>
        <w:rPr>
          <w:rFonts w:ascii="Arial" w:eastAsia="Times New Roman" w:hAnsi="Arial" w:cs="Arial"/>
          <w:noProof/>
          <w:szCs w:val="24"/>
        </w:rPr>
        <w:t>Escarpment Rural Area and Escarpment Natural Area. The propo</w:t>
      </w:r>
      <w:r w:rsidR="006136F4">
        <w:rPr>
          <w:rFonts w:ascii="Arial" w:eastAsia="Times New Roman" w:hAnsi="Arial" w:cs="Arial"/>
          <w:noProof/>
          <w:szCs w:val="24"/>
        </w:rPr>
        <w:t>s</w:t>
      </w:r>
      <w:r>
        <w:rPr>
          <w:rFonts w:ascii="Arial" w:eastAsia="Times New Roman" w:hAnsi="Arial" w:cs="Arial"/>
          <w:noProof/>
          <w:szCs w:val="24"/>
        </w:rPr>
        <w:t xml:space="preserve">ed development is within the Escarpment Rural Area. Accessory uses are permited in this land use designation within the NEP (Section 1.5.3.11) subject to satisfying Development Criteria in Section 2. </w:t>
      </w:r>
    </w:p>
    <w:p w14:paraId="780B5659" w14:textId="2A29C467" w:rsidR="00FE7914" w:rsidRDefault="00FE7914" w:rsidP="00FE7914">
      <w:pPr>
        <w:spacing w:after="0" w:line="240" w:lineRule="auto"/>
        <w:rPr>
          <w:rFonts w:ascii="Arial" w:eastAsia="Times New Roman" w:hAnsi="Arial" w:cs="Arial"/>
          <w:noProof/>
          <w:szCs w:val="24"/>
        </w:rPr>
      </w:pPr>
    </w:p>
    <w:p w14:paraId="5DA64D8B" w14:textId="7C9C04DA" w:rsidR="005B46C3" w:rsidRPr="00D64D75" w:rsidRDefault="005B46C3" w:rsidP="00FE7914">
      <w:pPr>
        <w:spacing w:after="0" w:line="240" w:lineRule="auto"/>
        <w:rPr>
          <w:rFonts w:ascii="Arial" w:eastAsia="Times New Roman" w:hAnsi="Arial" w:cs="Arial"/>
          <w:noProof/>
          <w:szCs w:val="24"/>
        </w:rPr>
      </w:pPr>
      <w:r>
        <w:rPr>
          <w:rFonts w:ascii="Arial" w:eastAsia="Times New Roman" w:hAnsi="Arial" w:cs="Arial"/>
          <w:noProof/>
          <w:szCs w:val="24"/>
        </w:rPr>
        <w:t xml:space="preserve">An </w:t>
      </w:r>
      <w:r w:rsidR="007773EB">
        <w:rPr>
          <w:rFonts w:ascii="Arial" w:eastAsia="Times New Roman" w:hAnsi="Arial" w:cs="Arial"/>
          <w:noProof/>
          <w:szCs w:val="24"/>
        </w:rPr>
        <w:t>accessory structure</w:t>
      </w:r>
      <w:r w:rsidR="00D64D75">
        <w:rPr>
          <w:rFonts w:ascii="Arial" w:eastAsia="Times New Roman" w:hAnsi="Arial" w:cs="Arial"/>
          <w:noProof/>
          <w:szCs w:val="24"/>
        </w:rPr>
        <w:t>/facility</w:t>
      </w:r>
      <w:r>
        <w:rPr>
          <w:rFonts w:ascii="Arial" w:eastAsia="Times New Roman" w:hAnsi="Arial" w:cs="Arial"/>
          <w:noProof/>
          <w:szCs w:val="24"/>
        </w:rPr>
        <w:t xml:space="preserve"> is defined in the NEP as </w:t>
      </w:r>
      <w:r w:rsidR="00D64D75" w:rsidRPr="00D64D75">
        <w:rPr>
          <w:rFonts w:ascii="Arial" w:eastAsia="Times New Roman" w:hAnsi="Arial" w:cs="Arial"/>
          <w:noProof/>
          <w:szCs w:val="24"/>
        </w:rPr>
        <w:t>“</w:t>
      </w:r>
      <w:r w:rsidR="00D64D75" w:rsidRPr="009E06C2">
        <w:rPr>
          <w:rFonts w:ascii="Arial" w:eastAsia="Times New Roman" w:hAnsi="Arial" w:cs="Arial"/>
          <w:noProof/>
          <w:szCs w:val="24"/>
        </w:rPr>
        <w:t>a</w:t>
      </w:r>
      <w:r w:rsidRPr="0027693D">
        <w:rPr>
          <w:rFonts w:ascii="Arial" w:eastAsia="Times New Roman" w:hAnsi="Arial" w:cs="Arial"/>
          <w:noProof/>
          <w:szCs w:val="24"/>
        </w:rPr>
        <w:t xml:space="preserve"> detached building, structure or other installation that is not used for human habitation, the use of which is naturally and normally incidental, subordinate</w:t>
      </w:r>
      <w:r w:rsidR="00D64D75">
        <w:rPr>
          <w:rFonts w:ascii="Arial" w:eastAsia="Times New Roman" w:hAnsi="Arial" w:cs="Arial"/>
          <w:noProof/>
          <w:szCs w:val="24"/>
        </w:rPr>
        <w:t>,</w:t>
      </w:r>
      <w:r w:rsidRPr="0027693D">
        <w:rPr>
          <w:rFonts w:ascii="Arial" w:eastAsia="Times New Roman" w:hAnsi="Arial" w:cs="Arial"/>
          <w:noProof/>
          <w:szCs w:val="24"/>
        </w:rPr>
        <w:t xml:space="preserve"> and exclusively devoted to the principal use located on the same lot.</w:t>
      </w:r>
      <w:r w:rsidR="00D64D75" w:rsidRPr="0027693D">
        <w:rPr>
          <w:rFonts w:ascii="Arial" w:eastAsia="Times New Roman" w:hAnsi="Arial" w:cs="Arial"/>
          <w:noProof/>
          <w:szCs w:val="24"/>
        </w:rPr>
        <w:t>”</w:t>
      </w:r>
      <w:r w:rsidRPr="0027693D">
        <w:rPr>
          <w:rFonts w:ascii="Arial" w:eastAsia="Times New Roman" w:hAnsi="Arial" w:cs="Arial"/>
          <w:noProof/>
          <w:szCs w:val="24"/>
        </w:rPr>
        <w:t xml:space="preserve"> </w:t>
      </w:r>
    </w:p>
    <w:p w14:paraId="77F1DBDC" w14:textId="148C822F" w:rsidR="005B46C3" w:rsidRDefault="005B46C3" w:rsidP="00FE7914">
      <w:pPr>
        <w:spacing w:after="0" w:line="240" w:lineRule="auto"/>
        <w:rPr>
          <w:rFonts w:ascii="Arial" w:eastAsia="Times New Roman" w:hAnsi="Arial" w:cs="Arial"/>
          <w:noProof/>
          <w:szCs w:val="24"/>
        </w:rPr>
      </w:pPr>
    </w:p>
    <w:p w14:paraId="0434977A" w14:textId="34BF8851" w:rsidR="005B46C3" w:rsidRDefault="005B46C3" w:rsidP="005B46C3">
      <w:pPr>
        <w:rPr>
          <w:rFonts w:ascii="Arial" w:eastAsia="Times New Roman" w:hAnsi="Arial" w:cs="Times New Roman"/>
          <w:szCs w:val="24"/>
          <w:lang w:val="en-GB"/>
        </w:rPr>
      </w:pPr>
      <w:r>
        <w:rPr>
          <w:rFonts w:ascii="Arial" w:eastAsia="Times New Roman" w:hAnsi="Arial" w:cs="Times New Roman"/>
          <w:szCs w:val="24"/>
          <w:lang w:val="en-GB"/>
        </w:rPr>
        <w:t xml:space="preserve">Section B2.13 of the Town of Blue Mountains Official Plan provides that </w:t>
      </w:r>
      <w:r w:rsidR="00D64D75">
        <w:rPr>
          <w:rFonts w:ascii="Arial" w:eastAsia="Times New Roman" w:hAnsi="Arial" w:cs="Times New Roman"/>
          <w:szCs w:val="24"/>
          <w:lang w:val="en-GB"/>
        </w:rPr>
        <w:t>“</w:t>
      </w:r>
      <w:r w:rsidRPr="0027693D">
        <w:rPr>
          <w:rFonts w:ascii="Arial" w:eastAsia="Times New Roman" w:hAnsi="Arial" w:cs="Times New Roman"/>
          <w:szCs w:val="24"/>
          <w:lang w:val="en-GB"/>
        </w:rPr>
        <w:t>the maximum height of all buildings and structures in the municipality shall generally be eleven (11) metres, except for those structures which by their nature, such as barns, silos, antennae, water towers, wind generators, drive-in theatre screens and bridges, require a greater height</w:t>
      </w:r>
      <w:r w:rsidRPr="00D64D75">
        <w:rPr>
          <w:rFonts w:ascii="Arial" w:eastAsia="Times New Roman" w:hAnsi="Arial" w:cs="Times New Roman"/>
          <w:szCs w:val="24"/>
          <w:lang w:val="en-GB"/>
        </w:rPr>
        <w:t>.</w:t>
      </w:r>
      <w:r w:rsidR="00D64D75">
        <w:rPr>
          <w:rFonts w:ascii="Arial" w:eastAsia="Times New Roman" w:hAnsi="Arial" w:cs="Times New Roman"/>
          <w:szCs w:val="24"/>
          <w:lang w:val="en-GB"/>
        </w:rPr>
        <w:t>”</w:t>
      </w:r>
      <w:r>
        <w:rPr>
          <w:rFonts w:ascii="Arial" w:eastAsia="Times New Roman" w:hAnsi="Arial" w:cs="Times New Roman"/>
          <w:szCs w:val="24"/>
          <w:lang w:val="en-GB"/>
        </w:rPr>
        <w:t xml:space="preserve"> In addition, if the subject property were subject to zoning, the maximum height for an accessory structure would be 5 m (Section 4.3j of the </w:t>
      </w:r>
      <w:r w:rsidRPr="00C562B1">
        <w:rPr>
          <w:rFonts w:ascii="Arial" w:eastAsia="Times New Roman" w:hAnsi="Arial" w:cs="Times New Roman"/>
          <w:szCs w:val="24"/>
          <w:lang w:val="en-GB"/>
        </w:rPr>
        <w:t>Town of The Blue Mountains Zoning By-law</w:t>
      </w:r>
      <w:r>
        <w:rPr>
          <w:rFonts w:ascii="Arial" w:eastAsia="Times New Roman" w:hAnsi="Arial" w:cs="Times New Roman"/>
          <w:szCs w:val="24"/>
          <w:lang w:val="en-GB"/>
        </w:rPr>
        <w:t xml:space="preserve"> 2018-65). </w:t>
      </w:r>
    </w:p>
    <w:p w14:paraId="6D6AF0E8" w14:textId="1F84FA81" w:rsidR="005B46C3" w:rsidRPr="009E06C2" w:rsidRDefault="007D0360" w:rsidP="00FE7914">
      <w:pPr>
        <w:spacing w:after="0" w:line="240" w:lineRule="auto"/>
        <w:rPr>
          <w:rFonts w:ascii="Arial" w:eastAsia="Times New Roman" w:hAnsi="Arial" w:cs="Arial"/>
          <w:noProof/>
          <w:szCs w:val="24"/>
        </w:rPr>
      </w:pPr>
      <w:r w:rsidRPr="00D64D75">
        <w:rPr>
          <w:rFonts w:ascii="Arial" w:eastAsia="Times New Roman" w:hAnsi="Arial" w:cs="Times New Roman"/>
          <w:szCs w:val="24"/>
          <w:lang w:val="en-GB"/>
        </w:rPr>
        <w:t xml:space="preserve">Objective 7 of the NEP is </w:t>
      </w:r>
      <w:r w:rsidR="00D64D75" w:rsidRPr="00D64D75">
        <w:rPr>
          <w:rFonts w:ascii="Arial" w:eastAsia="Times New Roman" w:hAnsi="Arial" w:cs="Times New Roman"/>
          <w:szCs w:val="24"/>
          <w:lang w:val="en-GB"/>
        </w:rPr>
        <w:t>“</w:t>
      </w:r>
      <w:r w:rsidRPr="009E06C2">
        <w:rPr>
          <w:rFonts w:ascii="Arial" w:eastAsia="Times New Roman" w:hAnsi="Arial" w:cs="Times New Roman"/>
          <w:szCs w:val="24"/>
          <w:lang w:val="en-GB"/>
        </w:rPr>
        <w:t xml:space="preserve">to </w:t>
      </w:r>
      <w:r w:rsidRPr="0027693D">
        <w:rPr>
          <w:rFonts w:ascii="Arial" w:eastAsia="Times New Roman" w:hAnsi="Arial" w:cs="Times New Roman"/>
          <w:szCs w:val="24"/>
          <w:lang w:val="en-GB"/>
        </w:rPr>
        <w:t>support municipalities within the NEP Area in their exercise of the planning functions conferred upon them by the Planning Act</w:t>
      </w:r>
      <w:r w:rsidRPr="00D64D75">
        <w:rPr>
          <w:rFonts w:ascii="Arial" w:eastAsia="Times New Roman" w:hAnsi="Arial" w:cs="Times New Roman"/>
          <w:szCs w:val="24"/>
          <w:lang w:val="en-GB"/>
        </w:rPr>
        <w:t>.</w:t>
      </w:r>
      <w:r w:rsidR="00D64D75" w:rsidRPr="009E06C2">
        <w:rPr>
          <w:rFonts w:ascii="Arial" w:eastAsia="Times New Roman" w:hAnsi="Arial" w:cs="Times New Roman"/>
          <w:szCs w:val="24"/>
          <w:lang w:val="en-GB"/>
        </w:rPr>
        <w:t>”</w:t>
      </w:r>
      <w:r w:rsidRPr="009E06C2">
        <w:rPr>
          <w:rFonts w:ascii="Arial" w:eastAsia="Times New Roman" w:hAnsi="Arial" w:cs="Times New Roman"/>
          <w:szCs w:val="24"/>
          <w:lang w:val="en-GB"/>
        </w:rPr>
        <w:t xml:space="preserve"> Although the NEP does not provide for a maximum footprint, floor area or height, consideration should be given to Objective 7 and the definition of </w:t>
      </w:r>
      <w:r w:rsidR="006E25EC" w:rsidRPr="009E06C2">
        <w:rPr>
          <w:rFonts w:ascii="Arial" w:eastAsia="Times New Roman" w:hAnsi="Arial" w:cs="Times New Roman"/>
          <w:szCs w:val="24"/>
          <w:lang w:val="en-GB"/>
        </w:rPr>
        <w:t xml:space="preserve">an accessory structure being </w:t>
      </w:r>
      <w:r w:rsidRPr="0027693D">
        <w:rPr>
          <w:rFonts w:ascii="Arial" w:eastAsia="Times New Roman" w:hAnsi="Arial" w:cs="Times New Roman"/>
          <w:szCs w:val="24"/>
          <w:lang w:val="en-GB"/>
        </w:rPr>
        <w:t>normally incidental and subordinate</w:t>
      </w:r>
      <w:r w:rsidRPr="00D64D75">
        <w:rPr>
          <w:rFonts w:ascii="Arial" w:eastAsia="Times New Roman" w:hAnsi="Arial" w:cs="Times New Roman"/>
          <w:szCs w:val="24"/>
          <w:lang w:val="en-GB"/>
        </w:rPr>
        <w:t xml:space="preserve">. </w:t>
      </w:r>
    </w:p>
    <w:p w14:paraId="1EF864C4" w14:textId="77777777" w:rsidR="00FE7914" w:rsidRDefault="00FE7914" w:rsidP="00FE7914">
      <w:pPr>
        <w:spacing w:after="0" w:line="240" w:lineRule="auto"/>
        <w:rPr>
          <w:lang w:val="en-US"/>
        </w:rPr>
      </w:pPr>
    </w:p>
    <w:p w14:paraId="56282A3D" w14:textId="7E3B158E" w:rsidR="00AE1BAF" w:rsidRDefault="00AE1BAF" w:rsidP="00424FF5">
      <w:pPr>
        <w:pStyle w:val="Heading3"/>
      </w:pPr>
      <w:r w:rsidRPr="13E7CEDC">
        <w:t>Planning Analysis:</w:t>
      </w:r>
    </w:p>
    <w:p w14:paraId="3558946A" w14:textId="07C64F85" w:rsidR="003E5CB1" w:rsidRDefault="003E5CB1" w:rsidP="003E5CB1">
      <w:pPr>
        <w:pStyle w:val="Heading4"/>
      </w:pPr>
      <w:r>
        <w:t>Provincial Policy Statement</w:t>
      </w:r>
    </w:p>
    <w:p w14:paraId="0BDFF3AC" w14:textId="5E9EF998" w:rsidR="003E5CB1" w:rsidRDefault="005E2B39" w:rsidP="003E5CB1">
      <w:r>
        <w:t xml:space="preserve">The proposal is not located within a hazard or within a </w:t>
      </w:r>
      <w:r w:rsidR="00D64D75">
        <w:t>natural feature</w:t>
      </w:r>
      <w:r>
        <w:t xml:space="preserve">. Although the proposed development is within 120 m of significant woodlands, Conservation Authority </w:t>
      </w:r>
      <w:r w:rsidR="009E06C2">
        <w:t>s</w:t>
      </w:r>
      <w:r>
        <w:t xml:space="preserve">taff concur that there </w:t>
      </w:r>
      <w:r w:rsidR="006136F4">
        <w:t>would</w:t>
      </w:r>
      <w:r>
        <w:t xml:space="preserve"> be no negative effects to </w:t>
      </w:r>
      <w:r w:rsidR="009E06C2">
        <w:t xml:space="preserve">nearby </w:t>
      </w:r>
      <w:r>
        <w:t>feature</w:t>
      </w:r>
      <w:r w:rsidR="009E06C2">
        <w:t>s</w:t>
      </w:r>
      <w:r w:rsidR="006136F4">
        <w:t xml:space="preserve"> </w:t>
      </w:r>
      <w:r w:rsidR="006E25EC">
        <w:t>due to</w:t>
      </w:r>
      <w:r w:rsidR="006136F4">
        <w:t xml:space="preserve"> the proposed development</w:t>
      </w:r>
      <w:r>
        <w:t xml:space="preserve">. </w:t>
      </w:r>
    </w:p>
    <w:p w14:paraId="1EF160F1" w14:textId="41E3D518" w:rsidR="009E06C2" w:rsidRDefault="009E06C2" w:rsidP="003E5CB1">
      <w:r>
        <w:t xml:space="preserve">Section 1.1.4 and 1.1.5 of the PPS speak to development in rural areas. These policies support development in rural areas that builds upon rural character and is compatible with the rural landscape. Although large buildings for agricultural purposes are part of the rural landscape, large buildings for non-agricultural uses are generally directed to settlement areas or rural industrial parks. In consideration of this, and that the Town of </w:t>
      </w:r>
      <w:r>
        <w:lastRenderedPageBreak/>
        <w:t>the Blue Mountains policies do not support large accessory buildings, it is questionable whether the proposed building meets the intent of the PPS.</w:t>
      </w:r>
    </w:p>
    <w:p w14:paraId="2C205FB3" w14:textId="2AE770D2" w:rsidR="003E5CB1" w:rsidRPr="00F33FFF" w:rsidRDefault="003E5CB1" w:rsidP="003E5CB1">
      <w:pPr>
        <w:pStyle w:val="Heading4"/>
      </w:pPr>
      <w:r w:rsidRPr="00F33FFF">
        <w:t>General</w:t>
      </w:r>
      <w:r>
        <w:t>, NEP</w:t>
      </w:r>
      <w:r w:rsidRPr="00F33FFF">
        <w:t xml:space="preserve"> Part 2.2</w:t>
      </w:r>
    </w:p>
    <w:p w14:paraId="20423CCC" w14:textId="6DE9FB95" w:rsidR="007D44B8" w:rsidRDefault="009E06C2" w:rsidP="003E5CB1">
      <w:r>
        <w:t xml:space="preserve">Part 2.2.1 of the NEP directs that “the Escarpment environment shall be protected, restored and where possible enhanced for the </w:t>
      </w:r>
      <w:r w:rsidR="0027693D">
        <w:t>long-term</w:t>
      </w:r>
      <w:r>
        <w:t xml:space="preserve"> having regard to single, multiple or successive development that have occurred or are likely to occur.” </w:t>
      </w:r>
      <w:r w:rsidR="007D44B8">
        <w:t xml:space="preserve">Considering that an objective of the NEP is to maintain and enhance the open landscape character, the cumulative impact of structures that do not support this objective needs to be considered. Although the proposed storage building is not overtly visible from public viewpoints, the issue of precedence should be considered as large buildings proposed elsewhere may have significant visual impacts. It is also notable that large buildings in rural areas are usually intended to support agricultural uses, which is not the case here. Thus, the structure does not contribute to another of the NEP’s objectives, which is supporting compatible agriculture. </w:t>
      </w:r>
    </w:p>
    <w:p w14:paraId="71042AB2" w14:textId="2ADAA03E" w:rsidR="003E5CB1" w:rsidRDefault="00AA6D62" w:rsidP="003E5CB1">
      <w:r>
        <w:t xml:space="preserve">The subject property is located within both Escarpment Natural and Escarpment Rural designations. Development will be restricted to the Escarpment Rural Area per </w:t>
      </w:r>
      <w:r w:rsidR="009E06C2">
        <w:t xml:space="preserve">Part </w:t>
      </w:r>
      <w:r>
        <w:t>2.2.5.</w:t>
      </w:r>
    </w:p>
    <w:p w14:paraId="6FD72CCC" w14:textId="36E48A8F" w:rsidR="00AA6D62" w:rsidRPr="00F33FFF" w:rsidRDefault="00AA6D62" w:rsidP="003E5CB1">
      <w:r>
        <w:t xml:space="preserve">The proposed site of development is not prone to any natural hazards and the proposed structure will not be used for a Home Occupation, Home Industry or as a </w:t>
      </w:r>
      <w:r w:rsidR="006136F4">
        <w:t>S</w:t>
      </w:r>
      <w:r>
        <w:t xml:space="preserve">econdary </w:t>
      </w:r>
      <w:r w:rsidR="006136F4">
        <w:t>D</w:t>
      </w:r>
      <w:r>
        <w:t xml:space="preserve">welling </w:t>
      </w:r>
      <w:r w:rsidR="006136F4">
        <w:t>U</w:t>
      </w:r>
      <w:r>
        <w:t>nit.</w:t>
      </w:r>
      <w:r w:rsidR="00141D10">
        <w:t xml:space="preserve"> The proposal complies with Part 2.2.</w:t>
      </w:r>
      <w:r>
        <w:t xml:space="preserve"> </w:t>
      </w:r>
    </w:p>
    <w:p w14:paraId="47E6D23E" w14:textId="3D78579F" w:rsidR="003E5CB1" w:rsidRPr="009E06C2" w:rsidRDefault="003E5CB1" w:rsidP="009E06C2">
      <w:pPr>
        <w:rPr>
          <w:b/>
          <w:bCs/>
        </w:rPr>
      </w:pPr>
      <w:r w:rsidRPr="009E06C2">
        <w:rPr>
          <w:b/>
          <w:bCs/>
        </w:rPr>
        <w:t>Water Resources, NEP Part 2.6</w:t>
      </w:r>
    </w:p>
    <w:p w14:paraId="5D4ED641" w14:textId="3B4B75B5" w:rsidR="00141D10" w:rsidRPr="00F33FFF" w:rsidRDefault="00141D10" w:rsidP="003E5CB1">
      <w:r>
        <w:t>The proposed development is not located within or adjacent to a Key Hydrologic Feature and is compliant with Part 2.6.</w:t>
      </w:r>
    </w:p>
    <w:p w14:paraId="4912DCD1" w14:textId="583F271F" w:rsidR="003E5CB1" w:rsidRPr="00F33FFF" w:rsidRDefault="003E5CB1" w:rsidP="003E5CB1">
      <w:pPr>
        <w:pStyle w:val="Heading4"/>
      </w:pPr>
      <w:r w:rsidRPr="00F33FFF">
        <w:t>Natural Heritage</w:t>
      </w:r>
      <w:r>
        <w:t>, NEP</w:t>
      </w:r>
      <w:r w:rsidRPr="00F33FFF">
        <w:t xml:space="preserve"> Part 2.7</w:t>
      </w:r>
    </w:p>
    <w:p w14:paraId="4719DC01" w14:textId="0F7DFEA2" w:rsidR="005B7298" w:rsidRDefault="00BA191F" w:rsidP="003E5CB1">
      <w:r>
        <w:t xml:space="preserve">The subject property contains Significant Woodlands as identified by Grey County. </w:t>
      </w:r>
      <w:r w:rsidR="005B7298">
        <w:t xml:space="preserve">The proposed development is set back less than 120 m from the Significant </w:t>
      </w:r>
      <w:r w:rsidR="00893367">
        <w:t>Woodlands;</w:t>
      </w:r>
      <w:r w:rsidR="005B7298">
        <w:t xml:space="preserve"> however, the Nottawasaga Valley Conservation Authority and NEC Staff agree that there should be no negative impacts to the woodlands from the proposed development. </w:t>
      </w:r>
    </w:p>
    <w:p w14:paraId="73AE125E" w14:textId="6006086D" w:rsidR="003E5CB1" w:rsidRPr="00F33FFF" w:rsidRDefault="005B7298" w:rsidP="003E5CB1">
      <w:r>
        <w:t xml:space="preserve">Although much of the property is in grassland or old field, the field in which development is proposed is not suitable habitat for Bobolink or Eastern Meadowlark. </w:t>
      </w:r>
      <w:r w:rsidR="006136F4">
        <w:t xml:space="preserve">Neither of these species </w:t>
      </w:r>
      <w:r w:rsidR="006E25EC">
        <w:t>were</w:t>
      </w:r>
      <w:r w:rsidR="006136F4">
        <w:t xml:space="preserve"> noted on the property during the site visit. </w:t>
      </w:r>
      <w:r>
        <w:t xml:space="preserve">Other species at risk noted by the Natural Heritage </w:t>
      </w:r>
      <w:r w:rsidR="00051B1A">
        <w:t>Information</w:t>
      </w:r>
      <w:r>
        <w:t xml:space="preserve"> Centre in the general area include </w:t>
      </w:r>
      <w:r w:rsidR="001851DB">
        <w:t xml:space="preserve">butternut </w:t>
      </w:r>
      <w:r>
        <w:t xml:space="preserve">and American </w:t>
      </w:r>
      <w:r w:rsidR="00816B58">
        <w:t>H</w:t>
      </w:r>
      <w:r>
        <w:t xml:space="preserve">art’s-tongue </w:t>
      </w:r>
      <w:r w:rsidR="001851DB">
        <w:t>fern</w:t>
      </w:r>
      <w:r>
        <w:t xml:space="preserve">. The site of the proposed development is an abandoned gravel pit and is heavily disturbed. No </w:t>
      </w:r>
      <w:r w:rsidR="001851DB">
        <w:t xml:space="preserve">butternut </w:t>
      </w:r>
      <w:r w:rsidR="006136F4">
        <w:t>were</w:t>
      </w:r>
      <w:r w:rsidR="00051B1A">
        <w:t xml:space="preserve"> noted during the site visit</w:t>
      </w:r>
      <w:r w:rsidR="00562A4E">
        <w:t xml:space="preserve">. The </w:t>
      </w:r>
      <w:r w:rsidR="00051B1A">
        <w:t xml:space="preserve">site is not suitable for American Hart’s-tongue </w:t>
      </w:r>
      <w:r w:rsidR="001851DB">
        <w:t>fern</w:t>
      </w:r>
      <w:r w:rsidR="00051B1A">
        <w:t xml:space="preserve">. </w:t>
      </w:r>
      <w:r>
        <w:t xml:space="preserve">No other Species at Risk are anticipated in the area of </w:t>
      </w:r>
      <w:r w:rsidR="006136F4">
        <w:t xml:space="preserve">the </w:t>
      </w:r>
      <w:r>
        <w:t xml:space="preserve">proposed development. </w:t>
      </w:r>
      <w:r w:rsidR="00562A4E">
        <w:t>The proposal complies with Part 2.7.</w:t>
      </w:r>
    </w:p>
    <w:p w14:paraId="3C7F21CA" w14:textId="49CF5AC1" w:rsidR="003E5CB1" w:rsidRPr="00F33FFF" w:rsidRDefault="003E5CB1" w:rsidP="003E5CB1">
      <w:pPr>
        <w:pStyle w:val="Heading4"/>
      </w:pPr>
      <w:r w:rsidRPr="00F33FFF">
        <w:lastRenderedPageBreak/>
        <w:t>Scenic Resources and Landform Conservation</w:t>
      </w:r>
      <w:r>
        <w:t xml:space="preserve">, NEP </w:t>
      </w:r>
      <w:r w:rsidRPr="00F33FFF">
        <w:t>Part 2.13</w:t>
      </w:r>
    </w:p>
    <w:p w14:paraId="744003A4" w14:textId="2CFFB266" w:rsidR="003E5CB1" w:rsidRDefault="00AD296E" w:rsidP="003E5CB1">
      <w:pPr>
        <w:rPr>
          <w:rFonts w:cstheme="minorHAnsi"/>
          <w:lang w:val="en-US"/>
        </w:rPr>
      </w:pPr>
      <w:r>
        <w:rPr>
          <w:rFonts w:cstheme="minorHAnsi"/>
          <w:lang w:val="en-US"/>
        </w:rPr>
        <w:t>Although the proposed development is for a two</w:t>
      </w:r>
      <w:r w:rsidR="006136F4">
        <w:rPr>
          <w:rFonts w:cstheme="minorHAnsi"/>
          <w:lang w:val="en-US"/>
        </w:rPr>
        <w:t xml:space="preserve"> </w:t>
      </w:r>
      <w:r>
        <w:rPr>
          <w:rFonts w:cstheme="minorHAnsi"/>
          <w:lang w:val="en-US"/>
        </w:rPr>
        <w:t xml:space="preserve">storey, 15 m high (50 ft) accessory structure, the proposed location is within the lowest area of the property, </w:t>
      </w:r>
      <w:r w:rsidR="00587ABE">
        <w:rPr>
          <w:rFonts w:cstheme="minorHAnsi"/>
          <w:lang w:val="en-US"/>
        </w:rPr>
        <w:t xml:space="preserve">approximately 5 m lower than the dwelling and 8-9 m lower than the elevation of the road at the driveway entrance. The property is well screened from the road by </w:t>
      </w:r>
      <w:r w:rsidR="006136F4">
        <w:rPr>
          <w:rFonts w:cstheme="minorHAnsi"/>
          <w:lang w:val="en-US"/>
        </w:rPr>
        <w:t>mature</w:t>
      </w:r>
      <w:r w:rsidR="00587ABE">
        <w:rPr>
          <w:rFonts w:cstheme="minorHAnsi"/>
          <w:lang w:val="en-US"/>
        </w:rPr>
        <w:t xml:space="preserve"> trees, except at the driveway entrance</w:t>
      </w:r>
      <w:r w:rsidR="00D5465C">
        <w:rPr>
          <w:rFonts w:cstheme="minorHAnsi"/>
          <w:lang w:val="en-US"/>
        </w:rPr>
        <w:t xml:space="preserve"> itself</w:t>
      </w:r>
      <w:r w:rsidR="00587ABE">
        <w:rPr>
          <w:rFonts w:cstheme="minorHAnsi"/>
          <w:lang w:val="en-US"/>
        </w:rPr>
        <w:t>. There is also a row of trees immediately in front of the proposed location for the accessory structure</w:t>
      </w:r>
      <w:r w:rsidR="006136F4">
        <w:rPr>
          <w:rFonts w:cstheme="minorHAnsi"/>
          <w:lang w:val="en-US"/>
        </w:rPr>
        <w:t xml:space="preserve"> providing some additional screening</w:t>
      </w:r>
      <w:r w:rsidR="00587ABE">
        <w:rPr>
          <w:rFonts w:cstheme="minorHAnsi"/>
          <w:lang w:val="en-US"/>
        </w:rPr>
        <w:t xml:space="preserve">. </w:t>
      </w:r>
    </w:p>
    <w:p w14:paraId="135ACD4B" w14:textId="059878CE" w:rsidR="00587ABE" w:rsidRDefault="00587ABE" w:rsidP="003E5CB1">
      <w:pPr>
        <w:rPr>
          <w:rFonts w:cstheme="minorHAnsi"/>
          <w:lang w:val="en-US"/>
        </w:rPr>
      </w:pPr>
      <w:r>
        <w:rPr>
          <w:rFonts w:cstheme="minorHAnsi"/>
          <w:lang w:val="en-US"/>
        </w:rPr>
        <w:t>Overall, the accessory structure will be well screened from the road</w:t>
      </w:r>
      <w:r w:rsidR="00D5465C">
        <w:rPr>
          <w:rFonts w:cstheme="minorHAnsi"/>
          <w:lang w:val="en-US"/>
        </w:rPr>
        <w:t xml:space="preserve"> </w:t>
      </w:r>
      <w:r w:rsidR="006136F4">
        <w:rPr>
          <w:rFonts w:cstheme="minorHAnsi"/>
          <w:lang w:val="en-US"/>
        </w:rPr>
        <w:t>except for</w:t>
      </w:r>
      <w:r w:rsidR="00D5465C">
        <w:rPr>
          <w:rFonts w:cstheme="minorHAnsi"/>
          <w:lang w:val="en-US"/>
        </w:rPr>
        <w:t xml:space="preserve"> the view from the </w:t>
      </w:r>
      <w:r>
        <w:rPr>
          <w:rFonts w:cstheme="minorHAnsi"/>
          <w:lang w:val="en-US"/>
        </w:rPr>
        <w:t xml:space="preserve">driveway entrance. At this location, </w:t>
      </w:r>
      <w:r w:rsidR="00D5465C">
        <w:rPr>
          <w:rFonts w:cstheme="minorHAnsi"/>
          <w:lang w:val="en-US"/>
        </w:rPr>
        <w:t xml:space="preserve">however, </w:t>
      </w:r>
      <w:r>
        <w:rPr>
          <w:rFonts w:cstheme="minorHAnsi"/>
          <w:lang w:val="en-US"/>
        </w:rPr>
        <w:t xml:space="preserve">the viewer will have a much more direct view of the dwelling than of the accessory structure. </w:t>
      </w:r>
      <w:r w:rsidR="00D5465C">
        <w:rPr>
          <w:rFonts w:cstheme="minorHAnsi"/>
          <w:lang w:val="en-US"/>
        </w:rPr>
        <w:t xml:space="preserve">From this perspective the accessory structure will look smaller and lower than the dwelling. </w:t>
      </w:r>
    </w:p>
    <w:p w14:paraId="238D3D10" w14:textId="08AC32A0" w:rsidR="00587ABE" w:rsidRPr="00F33FFF" w:rsidRDefault="00587ABE" w:rsidP="003E5CB1">
      <w:pPr>
        <w:rPr>
          <w:rFonts w:cstheme="minorHAnsi"/>
          <w:lang w:val="en-US"/>
        </w:rPr>
      </w:pPr>
      <w:r>
        <w:rPr>
          <w:rFonts w:cstheme="minorHAnsi"/>
          <w:lang w:val="en-US"/>
        </w:rPr>
        <w:t>There are no direct views to or from the proposed building location to areas outside of the property</w:t>
      </w:r>
      <w:r w:rsidR="00D5465C">
        <w:rPr>
          <w:rFonts w:cstheme="minorHAnsi"/>
          <w:lang w:val="en-US"/>
        </w:rPr>
        <w:t xml:space="preserve"> other than at the driveway entrance</w:t>
      </w:r>
      <w:r>
        <w:rPr>
          <w:rFonts w:cstheme="minorHAnsi"/>
          <w:lang w:val="en-US"/>
        </w:rPr>
        <w:t xml:space="preserve">. The proposed accessory building </w:t>
      </w:r>
      <w:r w:rsidR="006E25EC">
        <w:rPr>
          <w:rFonts w:cstheme="minorHAnsi"/>
          <w:lang w:val="en-US"/>
        </w:rPr>
        <w:t>would</w:t>
      </w:r>
      <w:r>
        <w:rPr>
          <w:rFonts w:cstheme="minorHAnsi"/>
          <w:lang w:val="en-US"/>
        </w:rPr>
        <w:t xml:space="preserve"> not impact scenic resources and complies with Part 2.13.</w:t>
      </w:r>
    </w:p>
    <w:p w14:paraId="317A5BBD" w14:textId="5433C1B9" w:rsidR="00AE1BAF" w:rsidRDefault="00AE1BAF" w:rsidP="000977F5">
      <w:pPr>
        <w:pStyle w:val="Heading3"/>
      </w:pPr>
      <w:r w:rsidRPr="5D3B5575">
        <w:t>Agency Consultations:</w:t>
      </w:r>
    </w:p>
    <w:p w14:paraId="3E5D0188" w14:textId="77777777" w:rsidR="001A6A9E" w:rsidRDefault="001A6A9E" w:rsidP="001A6A9E">
      <w:pPr>
        <w:numPr>
          <w:ilvl w:val="0"/>
          <w:numId w:val="11"/>
        </w:numPr>
        <w:spacing w:after="0" w:line="240" w:lineRule="auto"/>
        <w:rPr>
          <w:rFonts w:ascii="Arial" w:hAnsi="Arial" w:cs="Arial"/>
          <w:b/>
          <w:szCs w:val="24"/>
        </w:rPr>
      </w:pPr>
      <w:r w:rsidRPr="009B7268">
        <w:rPr>
          <w:rFonts w:ascii="Arial" w:hAnsi="Arial" w:cs="Arial"/>
          <w:b/>
          <w:noProof/>
          <w:szCs w:val="24"/>
        </w:rPr>
        <w:t xml:space="preserve">County of Grey Planning and Development </w:t>
      </w:r>
      <w:r>
        <w:rPr>
          <w:rFonts w:ascii="Arial" w:hAnsi="Arial" w:cs="Arial"/>
          <w:bCs/>
          <w:noProof/>
          <w:szCs w:val="24"/>
        </w:rPr>
        <w:t xml:space="preserve">responded and indicated that provided positive comments are received from the local Conservation Authority regarding the Signficant Woodlands and the NHS Core Area, Couny planning staff have no concerns with the subject application. </w:t>
      </w:r>
    </w:p>
    <w:p w14:paraId="45FA0589" w14:textId="77777777" w:rsidR="00C47372" w:rsidRDefault="00C47372" w:rsidP="00C47372">
      <w:pPr>
        <w:spacing w:after="0" w:line="240" w:lineRule="auto"/>
        <w:ind w:left="720"/>
        <w:rPr>
          <w:rFonts w:ascii="Arial" w:hAnsi="Arial" w:cs="Arial"/>
          <w:b/>
          <w:szCs w:val="24"/>
        </w:rPr>
      </w:pPr>
    </w:p>
    <w:p w14:paraId="42D8EFA4" w14:textId="44657E3C" w:rsidR="001A6A9E" w:rsidRDefault="001A6A9E" w:rsidP="001A6A9E">
      <w:pPr>
        <w:numPr>
          <w:ilvl w:val="0"/>
          <w:numId w:val="11"/>
        </w:numPr>
        <w:spacing w:after="0" w:line="240" w:lineRule="auto"/>
        <w:rPr>
          <w:rFonts w:ascii="Arial" w:hAnsi="Arial" w:cs="Arial"/>
          <w:b/>
          <w:szCs w:val="24"/>
        </w:rPr>
      </w:pPr>
      <w:r w:rsidRPr="009B7268">
        <w:rPr>
          <w:rFonts w:ascii="Arial" w:hAnsi="Arial" w:cs="Arial"/>
          <w:b/>
          <w:noProof/>
          <w:szCs w:val="24"/>
        </w:rPr>
        <w:t>Historic Saugeen M</w:t>
      </w:r>
      <w:r w:rsidR="001851DB">
        <w:rPr>
          <w:rFonts w:ascii="Arial" w:hAnsi="Arial" w:cs="Arial"/>
          <w:b/>
          <w:noProof/>
          <w:szCs w:val="24"/>
        </w:rPr>
        <w:t>é</w:t>
      </w:r>
      <w:r w:rsidRPr="009B7268">
        <w:rPr>
          <w:rFonts w:ascii="Arial" w:hAnsi="Arial" w:cs="Arial"/>
          <w:b/>
          <w:noProof/>
          <w:szCs w:val="24"/>
        </w:rPr>
        <w:t>tis</w:t>
      </w:r>
      <w:r>
        <w:rPr>
          <w:rFonts w:ascii="Arial" w:hAnsi="Arial" w:cs="Arial"/>
          <w:b/>
          <w:noProof/>
          <w:szCs w:val="24"/>
        </w:rPr>
        <w:t xml:space="preserve"> </w:t>
      </w:r>
      <w:r>
        <w:rPr>
          <w:rFonts w:ascii="Arial" w:hAnsi="Arial" w:cs="Arial"/>
          <w:bCs/>
          <w:noProof/>
          <w:szCs w:val="24"/>
        </w:rPr>
        <w:t>responded indicating no objection.</w:t>
      </w:r>
    </w:p>
    <w:p w14:paraId="10989966" w14:textId="77777777" w:rsidR="00C47372" w:rsidRDefault="00C47372" w:rsidP="00C47372">
      <w:pPr>
        <w:spacing w:after="0" w:line="240" w:lineRule="auto"/>
        <w:ind w:left="720"/>
        <w:rPr>
          <w:rFonts w:ascii="Arial" w:hAnsi="Arial" w:cs="Arial"/>
          <w:b/>
          <w:szCs w:val="24"/>
        </w:rPr>
      </w:pPr>
    </w:p>
    <w:p w14:paraId="78C75BC7" w14:textId="04A8AE6C" w:rsidR="001A6A9E" w:rsidRDefault="001A6A9E" w:rsidP="001A6A9E">
      <w:pPr>
        <w:numPr>
          <w:ilvl w:val="0"/>
          <w:numId w:val="11"/>
        </w:numPr>
        <w:spacing w:after="0" w:line="240" w:lineRule="auto"/>
        <w:rPr>
          <w:rFonts w:ascii="Arial" w:hAnsi="Arial" w:cs="Arial"/>
          <w:b/>
          <w:szCs w:val="24"/>
        </w:rPr>
      </w:pPr>
      <w:r w:rsidRPr="009B7268">
        <w:rPr>
          <w:rFonts w:ascii="Arial" w:hAnsi="Arial" w:cs="Arial"/>
          <w:b/>
          <w:noProof/>
          <w:szCs w:val="24"/>
        </w:rPr>
        <w:t>M</w:t>
      </w:r>
      <w:r w:rsidR="001851DB">
        <w:rPr>
          <w:rFonts w:ascii="Arial" w:hAnsi="Arial" w:cs="Arial"/>
          <w:b/>
          <w:noProof/>
          <w:szCs w:val="24"/>
        </w:rPr>
        <w:t>é</w:t>
      </w:r>
      <w:r w:rsidRPr="009B7268">
        <w:rPr>
          <w:rFonts w:ascii="Arial" w:hAnsi="Arial" w:cs="Arial"/>
          <w:b/>
          <w:noProof/>
          <w:szCs w:val="24"/>
        </w:rPr>
        <w:t>tis Nation of Ontario</w:t>
      </w:r>
      <w:r>
        <w:rPr>
          <w:rFonts w:ascii="Arial" w:hAnsi="Arial" w:cs="Arial"/>
          <w:b/>
          <w:noProof/>
          <w:szCs w:val="24"/>
        </w:rPr>
        <w:t xml:space="preserve"> </w:t>
      </w:r>
      <w:r>
        <w:rPr>
          <w:rFonts w:ascii="Arial" w:hAnsi="Arial" w:cs="Arial"/>
          <w:bCs/>
          <w:noProof/>
          <w:szCs w:val="24"/>
        </w:rPr>
        <w:t xml:space="preserve">did not respond. </w:t>
      </w:r>
    </w:p>
    <w:p w14:paraId="7727B5A8" w14:textId="77777777" w:rsidR="00C47372" w:rsidRDefault="00C47372" w:rsidP="00C47372">
      <w:pPr>
        <w:spacing w:after="0" w:line="240" w:lineRule="auto"/>
        <w:ind w:left="720"/>
        <w:rPr>
          <w:rFonts w:ascii="Arial" w:hAnsi="Arial" w:cs="Arial"/>
          <w:b/>
          <w:szCs w:val="24"/>
        </w:rPr>
      </w:pPr>
    </w:p>
    <w:p w14:paraId="3A3C9194" w14:textId="5EA1B78D" w:rsidR="001A6A9E" w:rsidRPr="005241F3" w:rsidRDefault="001A6A9E" w:rsidP="001A6A9E">
      <w:pPr>
        <w:numPr>
          <w:ilvl w:val="0"/>
          <w:numId w:val="11"/>
        </w:numPr>
        <w:spacing w:after="0" w:line="240" w:lineRule="auto"/>
        <w:rPr>
          <w:rFonts w:ascii="Arial" w:hAnsi="Arial" w:cs="Arial"/>
          <w:b/>
          <w:szCs w:val="24"/>
        </w:rPr>
      </w:pPr>
      <w:r w:rsidRPr="009B7268">
        <w:rPr>
          <w:rFonts w:ascii="Arial" w:hAnsi="Arial" w:cs="Arial"/>
          <w:b/>
          <w:noProof/>
          <w:szCs w:val="24"/>
        </w:rPr>
        <w:t>Nottawasaga Valley Conservatio</w:t>
      </w:r>
      <w:r w:rsidR="00C47372">
        <w:rPr>
          <w:rFonts w:ascii="Arial" w:hAnsi="Arial" w:cs="Arial"/>
          <w:b/>
          <w:noProof/>
          <w:szCs w:val="24"/>
        </w:rPr>
        <w:t>n Authority</w:t>
      </w:r>
      <w:r>
        <w:rPr>
          <w:rFonts w:ascii="Arial" w:hAnsi="Arial" w:cs="Arial"/>
          <w:b/>
          <w:noProof/>
          <w:szCs w:val="24"/>
        </w:rPr>
        <w:t xml:space="preserve"> </w:t>
      </w:r>
      <w:r>
        <w:rPr>
          <w:rFonts w:ascii="Arial" w:hAnsi="Arial" w:cs="Arial"/>
          <w:bCs/>
          <w:noProof/>
          <w:szCs w:val="24"/>
        </w:rPr>
        <w:t>responded indicating that the property does not fall within an area affected by O. Reg 172/06 (the Autho</w:t>
      </w:r>
      <w:r w:rsidR="00C47372">
        <w:rPr>
          <w:rFonts w:ascii="Arial" w:hAnsi="Arial" w:cs="Arial"/>
          <w:bCs/>
          <w:noProof/>
          <w:szCs w:val="24"/>
        </w:rPr>
        <w:t>r</w:t>
      </w:r>
      <w:r>
        <w:rPr>
          <w:rFonts w:ascii="Arial" w:hAnsi="Arial" w:cs="Arial"/>
          <w:bCs/>
          <w:noProof/>
          <w:szCs w:val="24"/>
        </w:rPr>
        <w:t>it</w:t>
      </w:r>
      <w:r w:rsidR="001851DB">
        <w:rPr>
          <w:rFonts w:ascii="Arial" w:hAnsi="Arial" w:cs="Arial"/>
          <w:bCs/>
          <w:noProof/>
          <w:szCs w:val="24"/>
        </w:rPr>
        <w:t>y</w:t>
      </w:r>
      <w:r>
        <w:rPr>
          <w:rFonts w:ascii="Arial" w:hAnsi="Arial" w:cs="Arial"/>
          <w:bCs/>
          <w:noProof/>
          <w:szCs w:val="24"/>
        </w:rPr>
        <w:t>’s Development, Interference with Wetlands and Alterations to Shorelines and Watercourses Regulation). Further that NVCA sta</w:t>
      </w:r>
      <w:r w:rsidR="00C47372">
        <w:rPr>
          <w:rFonts w:ascii="Arial" w:hAnsi="Arial" w:cs="Arial"/>
          <w:bCs/>
          <w:noProof/>
          <w:szCs w:val="24"/>
        </w:rPr>
        <w:t>f</w:t>
      </w:r>
      <w:r>
        <w:rPr>
          <w:rFonts w:ascii="Arial" w:hAnsi="Arial" w:cs="Arial"/>
          <w:bCs/>
          <w:noProof/>
          <w:szCs w:val="24"/>
        </w:rPr>
        <w:t xml:space="preserve">f have no natural hazard nor natural heritage concerns with the proposed development. NVCA has no objection to the approval of the NEC application. </w:t>
      </w:r>
    </w:p>
    <w:p w14:paraId="69CDEBAF" w14:textId="77777777" w:rsidR="00C47372" w:rsidRDefault="00C47372" w:rsidP="00C47372">
      <w:pPr>
        <w:spacing w:after="0" w:line="240" w:lineRule="auto"/>
        <w:ind w:left="720"/>
        <w:rPr>
          <w:rFonts w:ascii="Arial" w:hAnsi="Arial" w:cs="Arial"/>
          <w:b/>
          <w:szCs w:val="24"/>
        </w:rPr>
      </w:pPr>
    </w:p>
    <w:p w14:paraId="4ACD011C" w14:textId="1C35FFC4" w:rsidR="001A6A9E" w:rsidRDefault="001A6A9E" w:rsidP="001A6A9E">
      <w:pPr>
        <w:numPr>
          <w:ilvl w:val="0"/>
          <w:numId w:val="11"/>
        </w:numPr>
        <w:spacing w:after="0" w:line="240" w:lineRule="auto"/>
        <w:rPr>
          <w:rFonts w:ascii="Arial" w:hAnsi="Arial" w:cs="Arial"/>
          <w:b/>
          <w:szCs w:val="24"/>
        </w:rPr>
      </w:pPr>
      <w:r w:rsidRPr="009B7268">
        <w:rPr>
          <w:rFonts w:ascii="Arial" w:hAnsi="Arial" w:cs="Arial"/>
          <w:b/>
          <w:noProof/>
          <w:szCs w:val="24"/>
        </w:rPr>
        <w:t>Town of The Blue Mountains Planning &amp; Building Services Dept</w:t>
      </w:r>
      <w:r>
        <w:rPr>
          <w:rFonts w:ascii="Arial" w:hAnsi="Arial" w:cs="Arial"/>
          <w:b/>
          <w:noProof/>
          <w:szCs w:val="24"/>
        </w:rPr>
        <w:t xml:space="preserve"> </w:t>
      </w:r>
      <w:r>
        <w:rPr>
          <w:rFonts w:ascii="Arial" w:hAnsi="Arial" w:cs="Arial"/>
          <w:bCs/>
          <w:noProof/>
          <w:szCs w:val="24"/>
        </w:rPr>
        <w:t>responded indicating that if zoning were in place, it would be zoned Rural. Accessory buildings in Rural zone have a maximum height of 5 met</w:t>
      </w:r>
      <w:r w:rsidR="006E25EC">
        <w:rPr>
          <w:rFonts w:ascii="Arial" w:hAnsi="Arial" w:cs="Arial"/>
          <w:bCs/>
          <w:noProof/>
          <w:szCs w:val="24"/>
        </w:rPr>
        <w:t>r</w:t>
      </w:r>
      <w:r w:rsidR="001851DB">
        <w:rPr>
          <w:rFonts w:ascii="Arial" w:hAnsi="Arial" w:cs="Arial"/>
          <w:bCs/>
          <w:noProof/>
          <w:szCs w:val="24"/>
        </w:rPr>
        <w:t>e</w:t>
      </w:r>
      <w:r>
        <w:rPr>
          <w:rFonts w:ascii="Arial" w:hAnsi="Arial" w:cs="Arial"/>
          <w:bCs/>
          <w:noProof/>
          <w:szCs w:val="24"/>
        </w:rPr>
        <w:t xml:space="preserve">s to the mid-point between the peak of the roof and the eaves. The NEC should be satisfied that the proposed accessory building is at a height and built-form to remain accessory and subordinate to the main dwelling unit. </w:t>
      </w:r>
    </w:p>
    <w:p w14:paraId="6CF9F504" w14:textId="77777777" w:rsidR="001A6A9E" w:rsidRDefault="001A6A9E" w:rsidP="0085071F">
      <w:pPr>
        <w:pStyle w:val="Heading3"/>
      </w:pPr>
    </w:p>
    <w:p w14:paraId="5FBC6E7B" w14:textId="77777777" w:rsidR="004B4F1F" w:rsidRDefault="004B4F1F" w:rsidP="0085071F">
      <w:pPr>
        <w:pStyle w:val="Heading3"/>
      </w:pPr>
    </w:p>
    <w:p w14:paraId="599BE57F" w14:textId="29132D45" w:rsidR="00AE1BAF" w:rsidRDefault="00451119" w:rsidP="0085071F">
      <w:pPr>
        <w:pStyle w:val="Heading3"/>
      </w:pPr>
      <w:r w:rsidRPr="13E7CEDC">
        <w:lastRenderedPageBreak/>
        <w:t>Discussion</w:t>
      </w:r>
      <w:r w:rsidR="00AE1BAF" w:rsidRPr="13E7CEDC">
        <w:t>:</w:t>
      </w:r>
    </w:p>
    <w:p w14:paraId="226466FD" w14:textId="74ED6BB7" w:rsidR="006A6203" w:rsidRDefault="007D0360" w:rsidP="00D5465C">
      <w:pPr>
        <w:rPr>
          <w:rFonts w:ascii="Arial" w:eastAsia="Times New Roman" w:hAnsi="Arial" w:cs="Times New Roman"/>
          <w:szCs w:val="24"/>
          <w:lang w:val="en-GB"/>
        </w:rPr>
      </w:pPr>
      <w:r>
        <w:rPr>
          <w:rFonts w:ascii="Arial" w:eastAsia="Times New Roman" w:hAnsi="Arial" w:cs="Times New Roman"/>
          <w:szCs w:val="24"/>
          <w:lang w:val="en-GB"/>
        </w:rPr>
        <w:t>The NEP does not provide for a maximum footprint, floor area or height for structur</w:t>
      </w:r>
      <w:r w:rsidR="006A6203">
        <w:rPr>
          <w:rFonts w:ascii="Arial" w:eastAsia="Times New Roman" w:hAnsi="Arial" w:cs="Times New Roman"/>
          <w:szCs w:val="24"/>
          <w:lang w:val="en-GB"/>
        </w:rPr>
        <w:t>e</w:t>
      </w:r>
      <w:r>
        <w:rPr>
          <w:rFonts w:ascii="Arial" w:eastAsia="Times New Roman" w:hAnsi="Arial" w:cs="Times New Roman"/>
          <w:szCs w:val="24"/>
          <w:lang w:val="en-GB"/>
        </w:rPr>
        <w:t>s</w:t>
      </w:r>
      <w:r w:rsidR="006A6203">
        <w:rPr>
          <w:rFonts w:ascii="Arial" w:eastAsia="Times New Roman" w:hAnsi="Arial" w:cs="Times New Roman"/>
          <w:szCs w:val="24"/>
          <w:lang w:val="en-GB"/>
        </w:rPr>
        <w:t xml:space="preserve"> within the </w:t>
      </w:r>
      <w:r w:rsidR="001851DB">
        <w:rPr>
          <w:rFonts w:ascii="Arial" w:eastAsia="Times New Roman" w:hAnsi="Arial" w:cs="Times New Roman"/>
          <w:szCs w:val="24"/>
          <w:lang w:val="en-GB"/>
        </w:rPr>
        <w:t>NEP A</w:t>
      </w:r>
      <w:r w:rsidR="006A6203">
        <w:rPr>
          <w:rFonts w:ascii="Arial" w:eastAsia="Times New Roman" w:hAnsi="Arial" w:cs="Times New Roman"/>
          <w:szCs w:val="24"/>
          <w:lang w:val="en-GB"/>
        </w:rPr>
        <w:t>rea</w:t>
      </w:r>
      <w:r>
        <w:rPr>
          <w:rFonts w:ascii="Arial" w:eastAsia="Times New Roman" w:hAnsi="Arial" w:cs="Times New Roman"/>
          <w:szCs w:val="24"/>
          <w:lang w:val="en-GB"/>
        </w:rPr>
        <w:t xml:space="preserve">. It defines </w:t>
      </w:r>
      <w:r w:rsidR="007773EB">
        <w:rPr>
          <w:rFonts w:ascii="Arial" w:eastAsia="Times New Roman" w:hAnsi="Arial" w:cs="Times New Roman"/>
          <w:szCs w:val="24"/>
          <w:lang w:val="en-GB"/>
        </w:rPr>
        <w:t>accessory structures</w:t>
      </w:r>
      <w:r>
        <w:rPr>
          <w:rFonts w:ascii="Arial" w:eastAsia="Times New Roman" w:hAnsi="Arial" w:cs="Times New Roman"/>
          <w:szCs w:val="24"/>
          <w:lang w:val="en-GB"/>
        </w:rPr>
        <w:t xml:space="preserve"> as structures that are </w:t>
      </w:r>
      <w:r w:rsidRPr="00816B58">
        <w:rPr>
          <w:rFonts w:ascii="Arial" w:eastAsia="Times New Roman" w:hAnsi="Arial" w:cs="Times New Roman"/>
          <w:szCs w:val="24"/>
          <w:lang w:val="en-GB"/>
        </w:rPr>
        <w:t>normally incidental and subordinate to</w:t>
      </w:r>
      <w:r>
        <w:rPr>
          <w:rFonts w:ascii="Arial" w:eastAsia="Times New Roman" w:hAnsi="Arial" w:cs="Times New Roman"/>
          <w:i/>
          <w:iCs/>
          <w:szCs w:val="24"/>
          <w:lang w:val="en-GB"/>
        </w:rPr>
        <w:t xml:space="preserve"> </w:t>
      </w:r>
      <w:r>
        <w:rPr>
          <w:rFonts w:ascii="Arial" w:eastAsia="Times New Roman" w:hAnsi="Arial" w:cs="Times New Roman"/>
          <w:szCs w:val="24"/>
          <w:lang w:val="en-GB"/>
        </w:rPr>
        <w:t xml:space="preserve">the </w:t>
      </w:r>
      <w:r w:rsidR="00893367">
        <w:rPr>
          <w:rFonts w:ascii="Arial" w:eastAsia="Times New Roman" w:hAnsi="Arial" w:cs="Times New Roman"/>
          <w:szCs w:val="24"/>
          <w:lang w:val="en-GB"/>
        </w:rPr>
        <w:t>principal</w:t>
      </w:r>
      <w:r w:rsidR="006E25EC">
        <w:rPr>
          <w:rFonts w:ascii="Arial" w:eastAsia="Times New Roman" w:hAnsi="Arial" w:cs="Times New Roman"/>
          <w:szCs w:val="24"/>
          <w:lang w:val="en-GB"/>
        </w:rPr>
        <w:t xml:space="preserve"> use (</w:t>
      </w:r>
      <w:r>
        <w:rPr>
          <w:rFonts w:ascii="Arial" w:eastAsia="Times New Roman" w:hAnsi="Arial" w:cs="Times New Roman"/>
          <w:szCs w:val="24"/>
          <w:lang w:val="en-GB"/>
        </w:rPr>
        <w:t>dwelling</w:t>
      </w:r>
      <w:r w:rsidR="006E25EC">
        <w:rPr>
          <w:rFonts w:ascii="Arial" w:eastAsia="Times New Roman" w:hAnsi="Arial" w:cs="Times New Roman"/>
          <w:szCs w:val="24"/>
          <w:lang w:val="en-GB"/>
        </w:rPr>
        <w:t>)</w:t>
      </w:r>
      <w:r>
        <w:rPr>
          <w:rFonts w:ascii="Arial" w:eastAsia="Times New Roman" w:hAnsi="Arial" w:cs="Times New Roman"/>
          <w:szCs w:val="24"/>
          <w:lang w:val="en-GB"/>
        </w:rPr>
        <w:t xml:space="preserve">. In the absence of the word “normally”, this definition would be interpreted </w:t>
      </w:r>
      <w:r w:rsidR="001851DB">
        <w:rPr>
          <w:rFonts w:ascii="Arial" w:eastAsia="Times New Roman" w:hAnsi="Arial" w:cs="Times New Roman"/>
          <w:szCs w:val="24"/>
          <w:lang w:val="en-GB"/>
        </w:rPr>
        <w:t>to mean that</w:t>
      </w:r>
      <w:r w:rsidRPr="001851DB">
        <w:rPr>
          <w:rFonts w:ascii="Arial" w:eastAsia="Times New Roman" w:hAnsi="Arial" w:cs="Times New Roman"/>
          <w:szCs w:val="24"/>
          <w:lang w:val="en-GB"/>
        </w:rPr>
        <w:t xml:space="preserve"> </w:t>
      </w:r>
      <w:r w:rsidRPr="00816B58">
        <w:rPr>
          <w:rFonts w:ascii="Arial" w:eastAsia="Times New Roman" w:hAnsi="Arial" w:cs="Times New Roman"/>
          <w:szCs w:val="24"/>
          <w:lang w:val="en-GB"/>
        </w:rPr>
        <w:t xml:space="preserve">accessory buildings </w:t>
      </w:r>
      <w:r w:rsidR="006136F4" w:rsidRPr="00816B58">
        <w:rPr>
          <w:rFonts w:ascii="Arial" w:eastAsia="Times New Roman" w:hAnsi="Arial" w:cs="Times New Roman"/>
          <w:szCs w:val="24"/>
          <w:lang w:val="en-GB"/>
        </w:rPr>
        <w:t>must</w:t>
      </w:r>
      <w:r w:rsidRPr="00816B58">
        <w:rPr>
          <w:rFonts w:ascii="Arial" w:eastAsia="Times New Roman" w:hAnsi="Arial" w:cs="Times New Roman"/>
          <w:szCs w:val="24"/>
          <w:lang w:val="en-GB"/>
        </w:rPr>
        <w:t xml:space="preserve"> be smaller than the dwelling</w:t>
      </w:r>
      <w:r>
        <w:rPr>
          <w:rFonts w:ascii="Arial" w:eastAsia="Times New Roman" w:hAnsi="Arial" w:cs="Times New Roman"/>
          <w:szCs w:val="24"/>
          <w:lang w:val="en-GB"/>
        </w:rPr>
        <w:t xml:space="preserve">. This interpretation would mean simply that the larger the dwelling, the larger the </w:t>
      </w:r>
      <w:r w:rsidR="006E25EC">
        <w:rPr>
          <w:rFonts w:ascii="Arial" w:eastAsia="Times New Roman" w:hAnsi="Arial" w:cs="Times New Roman"/>
          <w:szCs w:val="24"/>
          <w:lang w:val="en-GB"/>
        </w:rPr>
        <w:t>a</w:t>
      </w:r>
      <w:r>
        <w:rPr>
          <w:rFonts w:ascii="Arial" w:eastAsia="Times New Roman" w:hAnsi="Arial" w:cs="Times New Roman"/>
          <w:szCs w:val="24"/>
          <w:lang w:val="en-GB"/>
        </w:rPr>
        <w:t xml:space="preserve">ccessory </w:t>
      </w:r>
      <w:r w:rsidR="006E25EC">
        <w:rPr>
          <w:rFonts w:ascii="Arial" w:eastAsia="Times New Roman" w:hAnsi="Arial" w:cs="Times New Roman"/>
          <w:szCs w:val="24"/>
          <w:lang w:val="en-GB"/>
        </w:rPr>
        <w:t>structure</w:t>
      </w:r>
      <w:r>
        <w:rPr>
          <w:rFonts w:ascii="Arial" w:eastAsia="Times New Roman" w:hAnsi="Arial" w:cs="Times New Roman"/>
          <w:szCs w:val="24"/>
          <w:lang w:val="en-GB"/>
        </w:rPr>
        <w:t xml:space="preserve"> can be. This approach would not seem equitable, in that individuals with a modest home would not be able to build an accessory facility anywhere near as large as individuals who have the means to build much larger </w:t>
      </w:r>
      <w:r w:rsidR="006A6203">
        <w:rPr>
          <w:rFonts w:ascii="Arial" w:eastAsia="Times New Roman" w:hAnsi="Arial" w:cs="Times New Roman"/>
          <w:szCs w:val="24"/>
          <w:lang w:val="en-GB"/>
        </w:rPr>
        <w:t>homes</w:t>
      </w:r>
      <w:r>
        <w:rPr>
          <w:rFonts w:ascii="Arial" w:eastAsia="Times New Roman" w:hAnsi="Arial" w:cs="Times New Roman"/>
          <w:szCs w:val="24"/>
          <w:lang w:val="en-GB"/>
        </w:rPr>
        <w:t xml:space="preserve">. </w:t>
      </w:r>
    </w:p>
    <w:p w14:paraId="3AB51DB7" w14:textId="1B11385E" w:rsidR="006A6203" w:rsidRDefault="001851DB" w:rsidP="00D5465C">
      <w:pPr>
        <w:rPr>
          <w:rFonts w:ascii="Arial" w:eastAsia="Times New Roman" w:hAnsi="Arial" w:cs="Times New Roman"/>
          <w:szCs w:val="24"/>
          <w:lang w:val="en-GB"/>
        </w:rPr>
      </w:pPr>
      <w:r>
        <w:rPr>
          <w:rFonts w:ascii="Arial" w:eastAsia="Times New Roman" w:hAnsi="Arial" w:cs="Times New Roman"/>
          <w:szCs w:val="24"/>
          <w:lang w:val="en-GB"/>
        </w:rPr>
        <w:t>One</w:t>
      </w:r>
      <w:r w:rsidR="006A6203">
        <w:rPr>
          <w:rFonts w:ascii="Arial" w:eastAsia="Times New Roman" w:hAnsi="Arial" w:cs="Times New Roman"/>
          <w:szCs w:val="24"/>
          <w:lang w:val="en-GB"/>
        </w:rPr>
        <w:t xml:space="preserve"> needs to consider what is </w:t>
      </w:r>
      <w:r>
        <w:rPr>
          <w:rFonts w:ascii="Arial" w:eastAsia="Times New Roman" w:hAnsi="Arial" w:cs="Times New Roman"/>
          <w:szCs w:val="24"/>
          <w:lang w:val="en-GB"/>
        </w:rPr>
        <w:t>“</w:t>
      </w:r>
      <w:r w:rsidR="006A6203" w:rsidRPr="00816B58">
        <w:rPr>
          <w:rFonts w:ascii="Arial" w:eastAsia="Times New Roman" w:hAnsi="Arial" w:cs="Times New Roman"/>
          <w:szCs w:val="24"/>
          <w:lang w:val="en-GB"/>
        </w:rPr>
        <w:t>normally incidental</w:t>
      </w:r>
      <w:r>
        <w:rPr>
          <w:rFonts w:ascii="Arial" w:eastAsia="Times New Roman" w:hAnsi="Arial" w:cs="Times New Roman"/>
          <w:szCs w:val="24"/>
          <w:lang w:val="en-GB"/>
        </w:rPr>
        <w:t>”</w:t>
      </w:r>
      <w:r w:rsidR="006A6203">
        <w:rPr>
          <w:rFonts w:ascii="Arial" w:eastAsia="Times New Roman" w:hAnsi="Arial" w:cs="Times New Roman"/>
          <w:szCs w:val="24"/>
          <w:lang w:val="en-GB"/>
        </w:rPr>
        <w:t xml:space="preserve"> to a dwelling. It would be very rare that the proposed uses of this building would be normal use</w:t>
      </w:r>
      <w:r w:rsidR="00E15EE0">
        <w:rPr>
          <w:rFonts w:ascii="Arial" w:eastAsia="Times New Roman" w:hAnsi="Arial" w:cs="Times New Roman"/>
          <w:szCs w:val="24"/>
          <w:lang w:val="en-GB"/>
        </w:rPr>
        <w:t>s</w:t>
      </w:r>
      <w:r w:rsidR="006A6203">
        <w:rPr>
          <w:rFonts w:ascii="Arial" w:eastAsia="Times New Roman" w:hAnsi="Arial" w:cs="Times New Roman"/>
          <w:szCs w:val="24"/>
          <w:lang w:val="en-GB"/>
        </w:rPr>
        <w:t xml:space="preserve"> for an </w:t>
      </w:r>
      <w:r w:rsidR="0079392D">
        <w:rPr>
          <w:rFonts w:ascii="Arial" w:eastAsia="Times New Roman" w:hAnsi="Arial" w:cs="Times New Roman"/>
          <w:szCs w:val="24"/>
          <w:lang w:val="en-GB"/>
        </w:rPr>
        <w:t>a</w:t>
      </w:r>
      <w:r w:rsidR="006A6203">
        <w:rPr>
          <w:rFonts w:ascii="Arial" w:eastAsia="Times New Roman" w:hAnsi="Arial" w:cs="Times New Roman"/>
          <w:szCs w:val="24"/>
          <w:lang w:val="en-GB"/>
        </w:rPr>
        <w:t xml:space="preserve">ccessory </w:t>
      </w:r>
      <w:r w:rsidR="0079392D">
        <w:rPr>
          <w:rFonts w:ascii="Arial" w:eastAsia="Times New Roman" w:hAnsi="Arial" w:cs="Times New Roman"/>
          <w:szCs w:val="24"/>
          <w:lang w:val="en-GB"/>
        </w:rPr>
        <w:t xml:space="preserve">structure </w:t>
      </w:r>
      <w:r w:rsidR="006A6203">
        <w:rPr>
          <w:rFonts w:ascii="Arial" w:eastAsia="Times New Roman" w:hAnsi="Arial" w:cs="Times New Roman"/>
          <w:szCs w:val="24"/>
          <w:lang w:val="en-GB"/>
        </w:rPr>
        <w:t>for a single-family dwelling.</w:t>
      </w:r>
      <w:r w:rsidR="0079392D">
        <w:rPr>
          <w:rFonts w:ascii="Arial" w:eastAsia="Times New Roman" w:hAnsi="Arial" w:cs="Times New Roman"/>
          <w:szCs w:val="24"/>
          <w:lang w:val="en-GB"/>
        </w:rPr>
        <w:t xml:space="preserve"> </w:t>
      </w:r>
      <w:r w:rsidR="00EA317B">
        <w:rPr>
          <w:rFonts w:ascii="Arial" w:eastAsia="Times New Roman" w:hAnsi="Arial" w:cs="Times New Roman"/>
          <w:szCs w:val="24"/>
          <w:lang w:val="en-GB"/>
        </w:rPr>
        <w:t>The proposed building layout includes</w:t>
      </w:r>
      <w:r w:rsidR="00EA317B">
        <w:t xml:space="preserve"> 4</w:t>
      </w:r>
      <w:r w:rsidR="00E15EE0">
        <w:t>,</w:t>
      </w:r>
      <w:r w:rsidR="00EA317B">
        <w:t xml:space="preserve">300 </w:t>
      </w:r>
      <w:r w:rsidR="00EA317B" w:rsidRPr="009B7268">
        <w:rPr>
          <w:rFonts w:ascii="Arial" w:hAnsi="Arial" w:cs="Arial"/>
          <w:noProof/>
          <w:szCs w:val="24"/>
        </w:rPr>
        <w:t>ft</w:t>
      </w:r>
      <w:r w:rsidR="00EA317B" w:rsidRPr="00DF39F8">
        <w:rPr>
          <w:rFonts w:ascii="Arial" w:hAnsi="Arial" w:cs="Arial"/>
          <w:noProof/>
          <w:szCs w:val="24"/>
          <w:vertAlign w:val="superscript"/>
        </w:rPr>
        <w:t>2</w:t>
      </w:r>
      <w:r w:rsidR="00EA317B">
        <w:rPr>
          <w:rFonts w:ascii="Arial" w:hAnsi="Arial" w:cs="Arial"/>
          <w:noProof/>
          <w:szCs w:val="24"/>
          <w:vertAlign w:val="superscript"/>
        </w:rPr>
        <w:t xml:space="preserve"> </w:t>
      </w:r>
      <w:r w:rsidR="00EA317B">
        <w:t>for a gym/yoga studio, 3</w:t>
      </w:r>
      <w:r w:rsidR="00E15EE0">
        <w:t>,</w:t>
      </w:r>
      <w:r w:rsidR="00EA317B">
        <w:t xml:space="preserve">760 </w:t>
      </w:r>
      <w:r w:rsidR="00EA317B" w:rsidRPr="009B7268">
        <w:rPr>
          <w:rFonts w:ascii="Arial" w:hAnsi="Arial" w:cs="Arial"/>
          <w:noProof/>
          <w:szCs w:val="24"/>
        </w:rPr>
        <w:t>ft</w:t>
      </w:r>
      <w:r w:rsidR="00EA317B" w:rsidRPr="00DF39F8">
        <w:rPr>
          <w:rFonts w:ascii="Arial" w:hAnsi="Arial" w:cs="Arial"/>
          <w:noProof/>
          <w:szCs w:val="24"/>
          <w:vertAlign w:val="superscript"/>
        </w:rPr>
        <w:t>2</w:t>
      </w:r>
      <w:r w:rsidR="00EA317B">
        <w:t xml:space="preserve"> for volleyball change room and storage (supporting the existing outdoor volleyball court), an indoor pickleball/tennis court, as well as </w:t>
      </w:r>
      <w:r w:rsidR="00E15EE0">
        <w:t xml:space="preserve">an </w:t>
      </w:r>
      <w:r w:rsidR="00EA317B">
        <w:t xml:space="preserve">area for recreational vehicle storage and a workshop. </w:t>
      </w:r>
      <w:r w:rsidR="0079392D">
        <w:rPr>
          <w:rFonts w:ascii="Arial" w:eastAsia="Times New Roman" w:hAnsi="Arial" w:cs="Times New Roman"/>
          <w:szCs w:val="24"/>
          <w:lang w:val="en-GB"/>
        </w:rPr>
        <w:t xml:space="preserve">The need for a second complete sewage disposal system for the accessory structure also points to the use of the structure as </w:t>
      </w:r>
      <w:r w:rsidR="006E25EC">
        <w:rPr>
          <w:rFonts w:ascii="Arial" w:eastAsia="Times New Roman" w:hAnsi="Arial" w:cs="Times New Roman"/>
          <w:szCs w:val="24"/>
          <w:lang w:val="en-GB"/>
        </w:rPr>
        <w:t>atypical</w:t>
      </w:r>
      <w:r w:rsidR="0079392D">
        <w:rPr>
          <w:rFonts w:ascii="Arial" w:eastAsia="Times New Roman" w:hAnsi="Arial" w:cs="Times New Roman"/>
          <w:szCs w:val="24"/>
          <w:lang w:val="en-GB"/>
        </w:rPr>
        <w:t xml:space="preserve">. </w:t>
      </w:r>
    </w:p>
    <w:p w14:paraId="67142E30" w14:textId="6CDE4583" w:rsidR="00A51417" w:rsidRPr="0078718D" w:rsidRDefault="006A6203" w:rsidP="00A51417">
      <w:r>
        <w:rPr>
          <w:rFonts w:ascii="Arial" w:eastAsia="Times New Roman" w:hAnsi="Arial" w:cs="Times New Roman"/>
          <w:szCs w:val="24"/>
          <w:lang w:val="en-GB"/>
        </w:rPr>
        <w:t xml:space="preserve">The </w:t>
      </w:r>
      <w:r w:rsidR="003B41F6">
        <w:rPr>
          <w:rFonts w:ascii="Arial" w:eastAsia="Times New Roman" w:hAnsi="Arial" w:cs="Times New Roman"/>
          <w:szCs w:val="24"/>
          <w:lang w:val="en-GB"/>
        </w:rPr>
        <w:t xml:space="preserve">NEP </w:t>
      </w:r>
      <w:r>
        <w:rPr>
          <w:rFonts w:ascii="Arial" w:eastAsia="Times New Roman" w:hAnsi="Arial" w:cs="Times New Roman"/>
          <w:szCs w:val="24"/>
          <w:lang w:val="en-GB"/>
        </w:rPr>
        <w:t xml:space="preserve">also </w:t>
      </w:r>
      <w:r w:rsidR="003B41F6">
        <w:rPr>
          <w:rFonts w:ascii="Arial" w:eastAsia="Times New Roman" w:hAnsi="Arial" w:cs="Times New Roman"/>
          <w:szCs w:val="24"/>
          <w:lang w:val="en-GB"/>
        </w:rPr>
        <w:t xml:space="preserve">does not direct the maximum number of </w:t>
      </w:r>
      <w:r w:rsidR="007773EB">
        <w:rPr>
          <w:rFonts w:ascii="Arial" w:eastAsia="Times New Roman" w:hAnsi="Arial" w:cs="Times New Roman"/>
          <w:szCs w:val="24"/>
          <w:lang w:val="en-GB"/>
        </w:rPr>
        <w:t>a</w:t>
      </w:r>
      <w:r w:rsidR="003B41F6">
        <w:rPr>
          <w:rFonts w:ascii="Arial" w:eastAsia="Times New Roman" w:hAnsi="Arial" w:cs="Times New Roman"/>
          <w:szCs w:val="24"/>
          <w:lang w:val="en-GB"/>
        </w:rPr>
        <w:t xml:space="preserve">ccessory </w:t>
      </w:r>
      <w:r w:rsidR="007773EB">
        <w:rPr>
          <w:rFonts w:ascii="Arial" w:eastAsia="Times New Roman" w:hAnsi="Arial" w:cs="Times New Roman"/>
          <w:szCs w:val="24"/>
          <w:lang w:val="en-GB"/>
        </w:rPr>
        <w:t>structures</w:t>
      </w:r>
      <w:r w:rsidR="003B41F6">
        <w:rPr>
          <w:rFonts w:ascii="Arial" w:eastAsia="Times New Roman" w:hAnsi="Arial" w:cs="Times New Roman"/>
          <w:szCs w:val="24"/>
          <w:lang w:val="en-GB"/>
        </w:rPr>
        <w:t xml:space="preserve"> and does not have a maximum lot coverage limit. This could result in multiple large </w:t>
      </w:r>
      <w:r w:rsidR="007773EB">
        <w:rPr>
          <w:rFonts w:ascii="Arial" w:eastAsia="Times New Roman" w:hAnsi="Arial" w:cs="Times New Roman"/>
          <w:szCs w:val="24"/>
          <w:lang w:val="en-GB"/>
        </w:rPr>
        <w:t>a</w:t>
      </w:r>
      <w:r w:rsidR="003B41F6">
        <w:rPr>
          <w:rFonts w:ascii="Arial" w:eastAsia="Times New Roman" w:hAnsi="Arial" w:cs="Times New Roman"/>
          <w:szCs w:val="24"/>
          <w:lang w:val="en-GB"/>
        </w:rPr>
        <w:t xml:space="preserve">ccessory </w:t>
      </w:r>
      <w:r w:rsidR="007773EB">
        <w:rPr>
          <w:rFonts w:ascii="Arial" w:eastAsia="Times New Roman" w:hAnsi="Arial" w:cs="Times New Roman"/>
          <w:szCs w:val="24"/>
          <w:lang w:val="en-GB"/>
        </w:rPr>
        <w:t>structures</w:t>
      </w:r>
      <w:r w:rsidR="003B41F6">
        <w:rPr>
          <w:rFonts w:ascii="Arial" w:eastAsia="Times New Roman" w:hAnsi="Arial" w:cs="Times New Roman"/>
          <w:szCs w:val="24"/>
          <w:lang w:val="en-GB"/>
        </w:rPr>
        <w:t xml:space="preserve"> on the same lot. </w:t>
      </w:r>
      <w:r>
        <w:rPr>
          <w:rFonts w:ascii="Arial" w:eastAsia="Times New Roman" w:hAnsi="Arial" w:cs="Times New Roman"/>
          <w:szCs w:val="24"/>
          <w:lang w:val="en-GB"/>
        </w:rPr>
        <w:t xml:space="preserve">In considering proposals, NEC staff need to consider cumulative effects, and the potential for future applications for additional </w:t>
      </w:r>
      <w:r w:rsidR="007773EB">
        <w:rPr>
          <w:rFonts w:ascii="Arial" w:eastAsia="Times New Roman" w:hAnsi="Arial" w:cs="Times New Roman"/>
          <w:szCs w:val="24"/>
          <w:lang w:val="en-GB"/>
        </w:rPr>
        <w:t>a</w:t>
      </w:r>
      <w:r>
        <w:rPr>
          <w:rFonts w:ascii="Arial" w:eastAsia="Times New Roman" w:hAnsi="Arial" w:cs="Times New Roman"/>
          <w:szCs w:val="24"/>
          <w:lang w:val="en-GB"/>
        </w:rPr>
        <w:t xml:space="preserve">ccessory </w:t>
      </w:r>
      <w:r w:rsidR="007773EB">
        <w:rPr>
          <w:rFonts w:ascii="Arial" w:eastAsia="Times New Roman" w:hAnsi="Arial" w:cs="Times New Roman"/>
          <w:szCs w:val="24"/>
          <w:lang w:val="en-GB"/>
        </w:rPr>
        <w:t>structures</w:t>
      </w:r>
      <w:r>
        <w:rPr>
          <w:rFonts w:ascii="Arial" w:eastAsia="Times New Roman" w:hAnsi="Arial" w:cs="Times New Roman"/>
          <w:szCs w:val="24"/>
          <w:lang w:val="en-GB"/>
        </w:rPr>
        <w:t xml:space="preserve"> on the same lot</w:t>
      </w:r>
      <w:r w:rsidR="00E15EE0">
        <w:rPr>
          <w:rFonts w:ascii="Arial" w:eastAsia="Times New Roman" w:hAnsi="Arial" w:cs="Times New Roman"/>
          <w:szCs w:val="24"/>
          <w:lang w:val="en-GB"/>
        </w:rPr>
        <w:t xml:space="preserve"> or in the surrounding area</w:t>
      </w:r>
      <w:r w:rsidR="00816B58">
        <w:t xml:space="preserve">. </w:t>
      </w:r>
      <w:r w:rsidR="00A51417">
        <w:t>In addition, should the property be sold in the future, it will be difficult to ensure that the building is not used for commercial purposes</w:t>
      </w:r>
      <w:r w:rsidR="00E15EE0">
        <w:t xml:space="preserve"> unless an agreement on title is imposed, limiting future uses</w:t>
      </w:r>
      <w:r w:rsidR="00A51417">
        <w:t xml:space="preserve">. </w:t>
      </w:r>
    </w:p>
    <w:p w14:paraId="4F2618B5" w14:textId="23A0BBA3" w:rsidR="007773EB" w:rsidRPr="007773EB" w:rsidRDefault="00966DC3" w:rsidP="007773EB">
      <w:r>
        <w:rPr>
          <w:rFonts w:ascii="Arial" w:eastAsia="Times New Roman" w:hAnsi="Arial" w:cs="Times New Roman"/>
          <w:szCs w:val="24"/>
          <w:lang w:val="en-GB"/>
        </w:rPr>
        <w:t xml:space="preserve">Objective 7 of the NEP </w:t>
      </w:r>
      <w:r w:rsidR="007D0360">
        <w:rPr>
          <w:rFonts w:ascii="Arial" w:eastAsia="Times New Roman" w:hAnsi="Arial" w:cs="Times New Roman"/>
          <w:szCs w:val="24"/>
          <w:lang w:val="en-GB"/>
        </w:rPr>
        <w:t xml:space="preserve">directs the NEC </w:t>
      </w:r>
      <w:r>
        <w:rPr>
          <w:rFonts w:ascii="Arial" w:eastAsia="Times New Roman" w:hAnsi="Arial" w:cs="Times New Roman"/>
          <w:szCs w:val="24"/>
          <w:lang w:val="en-GB"/>
        </w:rPr>
        <w:t xml:space="preserve">to </w:t>
      </w:r>
      <w:r>
        <w:rPr>
          <w:rFonts w:ascii="Arial" w:eastAsia="Times New Roman" w:hAnsi="Arial" w:cs="Times New Roman"/>
          <w:i/>
          <w:iCs/>
          <w:szCs w:val="24"/>
          <w:lang w:val="en-GB"/>
        </w:rPr>
        <w:t>support municipalities within the NEP Area in their exercise of the planning functions conferred upon them by the Planning Act</w:t>
      </w:r>
      <w:r>
        <w:rPr>
          <w:rFonts w:ascii="Arial" w:eastAsia="Times New Roman" w:hAnsi="Arial" w:cs="Times New Roman"/>
          <w:szCs w:val="24"/>
          <w:lang w:val="en-GB"/>
        </w:rPr>
        <w:t>.</w:t>
      </w:r>
      <w:r w:rsidR="007D0360">
        <w:rPr>
          <w:rFonts w:ascii="Arial" w:eastAsia="Times New Roman" w:hAnsi="Arial" w:cs="Times New Roman"/>
          <w:szCs w:val="24"/>
          <w:lang w:val="en-GB"/>
        </w:rPr>
        <w:t xml:space="preserve"> Municipalities </w:t>
      </w:r>
      <w:r w:rsidR="006A6203">
        <w:rPr>
          <w:rFonts w:ascii="Arial" w:eastAsia="Times New Roman" w:hAnsi="Arial" w:cs="Times New Roman"/>
          <w:szCs w:val="24"/>
          <w:lang w:val="en-GB"/>
        </w:rPr>
        <w:t>establish</w:t>
      </w:r>
      <w:r w:rsidR="007D0360">
        <w:rPr>
          <w:rFonts w:ascii="Arial" w:eastAsia="Times New Roman" w:hAnsi="Arial" w:cs="Times New Roman"/>
          <w:szCs w:val="24"/>
          <w:lang w:val="en-GB"/>
        </w:rPr>
        <w:t xml:space="preserve"> setbacks, maximum heights</w:t>
      </w:r>
      <w:r w:rsidR="003B41F6">
        <w:rPr>
          <w:rFonts w:ascii="Arial" w:eastAsia="Times New Roman" w:hAnsi="Arial" w:cs="Times New Roman"/>
          <w:szCs w:val="24"/>
          <w:lang w:val="en-GB"/>
        </w:rPr>
        <w:t xml:space="preserve">, lot coverage limits </w:t>
      </w:r>
      <w:r w:rsidR="007D0360">
        <w:rPr>
          <w:rFonts w:ascii="Arial" w:eastAsia="Times New Roman" w:hAnsi="Arial" w:cs="Times New Roman"/>
          <w:szCs w:val="24"/>
          <w:lang w:val="en-GB"/>
        </w:rPr>
        <w:t xml:space="preserve">and other limitations within their compressive zoning bylaws </w:t>
      </w:r>
      <w:r w:rsidR="006E25EC">
        <w:rPr>
          <w:rFonts w:ascii="Arial" w:eastAsia="Times New Roman" w:hAnsi="Arial" w:cs="Times New Roman"/>
          <w:szCs w:val="24"/>
          <w:lang w:val="en-GB"/>
        </w:rPr>
        <w:t>to</w:t>
      </w:r>
      <w:r w:rsidR="007D0360">
        <w:rPr>
          <w:rFonts w:ascii="Arial" w:eastAsia="Times New Roman" w:hAnsi="Arial" w:cs="Times New Roman"/>
          <w:szCs w:val="24"/>
          <w:lang w:val="en-GB"/>
        </w:rPr>
        <w:t xml:space="preserve"> ensure that </w:t>
      </w:r>
      <w:r w:rsidR="003D1164">
        <w:rPr>
          <w:rFonts w:ascii="Arial" w:eastAsia="Times New Roman" w:hAnsi="Arial" w:cs="Times New Roman"/>
          <w:szCs w:val="24"/>
          <w:lang w:val="en-GB"/>
        </w:rPr>
        <w:t>development is sustainable and compatible with other uses, maintains community character and protects the environment. Zoning does not apply within the NEP Area and the NEP does not provide for similar restrictions including setbacks</w:t>
      </w:r>
      <w:r w:rsidR="006E25EC">
        <w:rPr>
          <w:rFonts w:ascii="Arial" w:eastAsia="Times New Roman" w:hAnsi="Arial" w:cs="Times New Roman"/>
          <w:szCs w:val="24"/>
          <w:lang w:val="en-GB"/>
        </w:rPr>
        <w:t>,</w:t>
      </w:r>
      <w:r w:rsidR="003D1164">
        <w:rPr>
          <w:rFonts w:ascii="Arial" w:eastAsia="Times New Roman" w:hAnsi="Arial" w:cs="Times New Roman"/>
          <w:szCs w:val="24"/>
          <w:lang w:val="en-GB"/>
        </w:rPr>
        <w:t xml:space="preserve"> maximum </w:t>
      </w:r>
      <w:r w:rsidR="00893367">
        <w:rPr>
          <w:rFonts w:ascii="Arial" w:eastAsia="Times New Roman" w:hAnsi="Arial" w:cs="Times New Roman"/>
          <w:szCs w:val="24"/>
          <w:lang w:val="en-GB"/>
        </w:rPr>
        <w:t>heights,</w:t>
      </w:r>
      <w:r w:rsidR="003B41F6">
        <w:rPr>
          <w:rFonts w:ascii="Arial" w:eastAsia="Times New Roman" w:hAnsi="Arial" w:cs="Times New Roman"/>
          <w:szCs w:val="24"/>
          <w:lang w:val="en-GB"/>
        </w:rPr>
        <w:t xml:space="preserve"> or lot coverage limits</w:t>
      </w:r>
      <w:r w:rsidR="003D1164">
        <w:rPr>
          <w:rFonts w:ascii="Arial" w:eastAsia="Times New Roman" w:hAnsi="Arial" w:cs="Times New Roman"/>
          <w:szCs w:val="24"/>
          <w:lang w:val="en-GB"/>
        </w:rPr>
        <w:t>. For this reason, and in consideration of Objective 7, the NEC should seek to meet the provisions of the zoning bylaws by considering the limitations set out in the most comparable</w:t>
      </w:r>
      <w:r w:rsidR="006136F4">
        <w:rPr>
          <w:rFonts w:ascii="Arial" w:eastAsia="Times New Roman" w:hAnsi="Arial" w:cs="Times New Roman"/>
          <w:szCs w:val="24"/>
          <w:lang w:val="en-GB"/>
        </w:rPr>
        <w:t xml:space="preserve"> zone</w:t>
      </w:r>
      <w:r w:rsidR="006A6203">
        <w:rPr>
          <w:rFonts w:ascii="Arial" w:eastAsia="Times New Roman" w:hAnsi="Arial" w:cs="Times New Roman"/>
          <w:szCs w:val="24"/>
          <w:lang w:val="en-GB"/>
        </w:rPr>
        <w:t xml:space="preserve"> within the municipality</w:t>
      </w:r>
      <w:r w:rsidR="003D1164">
        <w:rPr>
          <w:rFonts w:ascii="Arial" w:eastAsia="Times New Roman" w:hAnsi="Arial" w:cs="Times New Roman"/>
          <w:szCs w:val="24"/>
          <w:lang w:val="en-GB"/>
        </w:rPr>
        <w:t xml:space="preserve">. </w:t>
      </w:r>
      <w:r w:rsidR="00324C27">
        <w:rPr>
          <w:rFonts w:ascii="Arial" w:eastAsia="Times New Roman" w:hAnsi="Arial" w:cs="Times New Roman"/>
          <w:szCs w:val="24"/>
          <w:lang w:val="en-GB"/>
        </w:rPr>
        <w:t>The lack of limitations</w:t>
      </w:r>
      <w:r w:rsidR="006136F4">
        <w:rPr>
          <w:rFonts w:ascii="Arial" w:eastAsia="Times New Roman" w:hAnsi="Arial" w:cs="Times New Roman"/>
          <w:szCs w:val="24"/>
          <w:lang w:val="en-GB"/>
        </w:rPr>
        <w:t>,</w:t>
      </w:r>
      <w:r w:rsidR="00324C27">
        <w:rPr>
          <w:rFonts w:ascii="Arial" w:eastAsia="Times New Roman" w:hAnsi="Arial" w:cs="Times New Roman"/>
          <w:szCs w:val="24"/>
          <w:lang w:val="en-GB"/>
        </w:rPr>
        <w:t xml:space="preserve"> such as a maximum height</w:t>
      </w:r>
      <w:r w:rsidR="006A6203">
        <w:rPr>
          <w:rFonts w:ascii="Arial" w:eastAsia="Times New Roman" w:hAnsi="Arial" w:cs="Times New Roman"/>
          <w:szCs w:val="24"/>
          <w:lang w:val="en-GB"/>
        </w:rPr>
        <w:t xml:space="preserve"> or floor area</w:t>
      </w:r>
      <w:r w:rsidR="006136F4">
        <w:rPr>
          <w:rFonts w:ascii="Arial" w:eastAsia="Times New Roman" w:hAnsi="Arial" w:cs="Times New Roman"/>
          <w:szCs w:val="24"/>
          <w:lang w:val="en-GB"/>
        </w:rPr>
        <w:t>,</w:t>
      </w:r>
      <w:r w:rsidR="00324C27">
        <w:rPr>
          <w:rFonts w:ascii="Arial" w:eastAsia="Times New Roman" w:hAnsi="Arial" w:cs="Times New Roman"/>
          <w:szCs w:val="24"/>
          <w:lang w:val="en-GB"/>
        </w:rPr>
        <w:t xml:space="preserve"> should not create a loophole where development within the NEP Area is less restrictive than within comparable lands outside of Development Control</w:t>
      </w:r>
      <w:r w:rsidR="007773EB">
        <w:rPr>
          <w:rFonts w:ascii="Arial" w:eastAsia="Times New Roman" w:hAnsi="Arial" w:cs="Times New Roman"/>
          <w:szCs w:val="24"/>
          <w:lang w:val="en-GB"/>
        </w:rPr>
        <w:t>, which would be contrary</w:t>
      </w:r>
      <w:r w:rsidR="007773EB">
        <w:t xml:space="preserve"> to Objectives 1, 2 and 4 of the NEP.</w:t>
      </w:r>
      <w:r w:rsidR="00E15EE0">
        <w:t xml:space="preserve"> PPS policies that </w:t>
      </w:r>
      <w:r w:rsidR="00E15EE0">
        <w:lastRenderedPageBreak/>
        <w:t>support preserving the rural landscape and character are also put into question by a proposal that clearly does not meet local planning policies.</w:t>
      </w:r>
    </w:p>
    <w:p w14:paraId="0C532B57" w14:textId="39FEF52E" w:rsidR="00D5465C" w:rsidRDefault="007C5084" w:rsidP="00D5465C">
      <w:pPr>
        <w:rPr>
          <w:rFonts w:ascii="Arial" w:eastAsia="Times New Roman" w:hAnsi="Arial" w:cs="Times New Roman"/>
          <w:szCs w:val="24"/>
          <w:lang w:val="en-GB"/>
        </w:rPr>
      </w:pPr>
      <w:r>
        <w:rPr>
          <w:rFonts w:ascii="Arial" w:eastAsia="Times New Roman" w:hAnsi="Arial" w:cs="Times New Roman"/>
          <w:szCs w:val="24"/>
          <w:lang w:val="en-GB"/>
        </w:rPr>
        <w:t xml:space="preserve">Section B2.13 of the </w:t>
      </w:r>
      <w:r w:rsidR="00130A04">
        <w:rPr>
          <w:rFonts w:ascii="Arial" w:eastAsia="Times New Roman" w:hAnsi="Arial" w:cs="Times New Roman"/>
          <w:szCs w:val="24"/>
          <w:lang w:val="en-GB"/>
        </w:rPr>
        <w:t xml:space="preserve">Town of Blue Mountains </w:t>
      </w:r>
      <w:r>
        <w:rPr>
          <w:rFonts w:ascii="Arial" w:eastAsia="Times New Roman" w:hAnsi="Arial" w:cs="Times New Roman"/>
          <w:szCs w:val="24"/>
          <w:lang w:val="en-GB"/>
        </w:rPr>
        <w:t xml:space="preserve">Official Plan provides that </w:t>
      </w:r>
      <w:r w:rsidRPr="007C5084">
        <w:rPr>
          <w:rFonts w:ascii="Arial" w:eastAsia="Times New Roman" w:hAnsi="Arial" w:cs="Times New Roman"/>
          <w:i/>
          <w:iCs/>
          <w:szCs w:val="24"/>
          <w:lang w:val="en-GB"/>
        </w:rPr>
        <w:t>the maximum height of all buildings and structures in the municipality shall generally be eleven (11) metres, except for those structures which by their nature, such as barns, silos, antennae, water towers, wind generators, drive-in theatre screens and bridges, require a greater height</w:t>
      </w:r>
      <w:r w:rsidRPr="007C5084">
        <w:rPr>
          <w:rFonts w:ascii="Arial" w:eastAsia="Times New Roman" w:hAnsi="Arial" w:cs="Times New Roman"/>
          <w:szCs w:val="24"/>
          <w:lang w:val="en-GB"/>
        </w:rPr>
        <w:t>.</w:t>
      </w:r>
      <w:r>
        <w:rPr>
          <w:rFonts w:ascii="Arial" w:eastAsia="Times New Roman" w:hAnsi="Arial" w:cs="Times New Roman"/>
          <w:szCs w:val="24"/>
          <w:lang w:val="en-GB"/>
        </w:rPr>
        <w:t xml:space="preserve"> In addition, if the subject property were subject to zoning, the maximum height for an accessory structure would be 5 m</w:t>
      </w:r>
      <w:r w:rsidR="00C562B1">
        <w:rPr>
          <w:rFonts w:ascii="Arial" w:eastAsia="Times New Roman" w:hAnsi="Arial" w:cs="Times New Roman"/>
          <w:szCs w:val="24"/>
          <w:lang w:val="en-GB"/>
        </w:rPr>
        <w:t xml:space="preserve"> (Section 4.3j of the </w:t>
      </w:r>
      <w:r w:rsidR="00C562B1" w:rsidRPr="00C562B1">
        <w:rPr>
          <w:rFonts w:ascii="Arial" w:eastAsia="Times New Roman" w:hAnsi="Arial" w:cs="Times New Roman"/>
          <w:szCs w:val="24"/>
          <w:lang w:val="en-GB"/>
        </w:rPr>
        <w:t>Town of The Blue Mountains Zoning By-law</w:t>
      </w:r>
      <w:r w:rsidR="00C562B1">
        <w:rPr>
          <w:rFonts w:ascii="Arial" w:eastAsia="Times New Roman" w:hAnsi="Arial" w:cs="Times New Roman"/>
          <w:szCs w:val="24"/>
          <w:lang w:val="en-GB"/>
        </w:rPr>
        <w:t xml:space="preserve"> 2018-65)</w:t>
      </w:r>
      <w:r>
        <w:rPr>
          <w:rFonts w:ascii="Arial" w:eastAsia="Times New Roman" w:hAnsi="Arial" w:cs="Times New Roman"/>
          <w:szCs w:val="24"/>
          <w:lang w:val="en-GB"/>
        </w:rPr>
        <w:t xml:space="preserve">. </w:t>
      </w:r>
      <w:r w:rsidR="00654310">
        <w:rPr>
          <w:rFonts w:ascii="Arial" w:eastAsia="Times New Roman" w:hAnsi="Arial" w:cs="Times New Roman"/>
          <w:szCs w:val="24"/>
          <w:lang w:val="en-GB"/>
        </w:rPr>
        <w:t xml:space="preserve">Although the NEC measures the maximum height of a building to the peak, while the municipality measures it to the mid-point between the eaves and the peak, it is obvious that the proposed structure is substantially higher than what would be permitted if the property was within zoning. </w:t>
      </w:r>
    </w:p>
    <w:p w14:paraId="2DE010D1" w14:textId="54D9300E" w:rsidR="00AE1BAF" w:rsidRDefault="00AE1BAF" w:rsidP="00172D3A">
      <w:pPr>
        <w:pStyle w:val="Heading3"/>
      </w:pPr>
      <w:r w:rsidRPr="13E7CEDC">
        <w:t>Recommendation:</w:t>
      </w:r>
    </w:p>
    <w:p w14:paraId="20BCB406" w14:textId="5C0D8B51" w:rsidR="00392C66" w:rsidRPr="00392C66" w:rsidRDefault="003B41F6" w:rsidP="00F61F85">
      <w:pPr>
        <w:rPr>
          <w:rFonts w:cstheme="minorHAnsi"/>
          <w:lang w:val="en-US"/>
        </w:rPr>
      </w:pPr>
      <w:r>
        <w:rPr>
          <w:rFonts w:cstheme="minorHAnsi"/>
          <w:lang w:val="en-US"/>
        </w:rPr>
        <w:t xml:space="preserve">Staff recommend that the proposal be refused due to the significantly large size of the proposed structure, that it does not meet the </w:t>
      </w:r>
      <w:r w:rsidR="005A7F21">
        <w:rPr>
          <w:rFonts w:cstheme="minorHAnsi"/>
          <w:lang w:val="en-US"/>
        </w:rPr>
        <w:t xml:space="preserve">NEP </w:t>
      </w:r>
      <w:r>
        <w:rPr>
          <w:rFonts w:cstheme="minorHAnsi"/>
          <w:lang w:val="en-US"/>
        </w:rPr>
        <w:t xml:space="preserve">definition of </w:t>
      </w:r>
      <w:r w:rsidR="005A7F21">
        <w:rPr>
          <w:rFonts w:cstheme="minorHAnsi"/>
          <w:lang w:val="en-US"/>
        </w:rPr>
        <w:t>“</w:t>
      </w:r>
      <w:r w:rsidRPr="00816B58">
        <w:rPr>
          <w:rFonts w:cstheme="minorHAnsi"/>
          <w:lang w:val="en-US"/>
        </w:rPr>
        <w:t>normally incidental and subordinate</w:t>
      </w:r>
      <w:r w:rsidR="005A7F21">
        <w:rPr>
          <w:rFonts w:cstheme="minorHAnsi"/>
          <w:lang w:val="en-US"/>
        </w:rPr>
        <w:t>”</w:t>
      </w:r>
      <w:r w:rsidRPr="00816B58">
        <w:rPr>
          <w:rFonts w:cstheme="minorHAnsi"/>
          <w:lang w:val="en-US"/>
        </w:rPr>
        <w:t xml:space="preserve"> to the dwelling</w:t>
      </w:r>
      <w:r w:rsidR="008B0272">
        <w:rPr>
          <w:rFonts w:cstheme="minorHAnsi"/>
          <w:lang w:val="en-US"/>
        </w:rPr>
        <w:t xml:space="preserve">, </w:t>
      </w:r>
      <w:r w:rsidRPr="003B41F6">
        <w:rPr>
          <w:rFonts w:cstheme="minorHAnsi"/>
          <w:lang w:val="en-US"/>
        </w:rPr>
        <w:t>and</w:t>
      </w:r>
      <w:r>
        <w:rPr>
          <w:rFonts w:cstheme="minorHAnsi"/>
          <w:lang w:val="en-US"/>
        </w:rPr>
        <w:t xml:space="preserve"> the fact that permitting such a structure would vary </w:t>
      </w:r>
      <w:r w:rsidR="008B0272">
        <w:rPr>
          <w:rFonts w:cstheme="minorHAnsi"/>
          <w:lang w:val="en-US"/>
        </w:rPr>
        <w:t xml:space="preserve">substantially </w:t>
      </w:r>
      <w:r>
        <w:rPr>
          <w:rFonts w:cstheme="minorHAnsi"/>
          <w:lang w:val="en-US"/>
        </w:rPr>
        <w:t xml:space="preserve">from what would otherwise be allowed within the municipality were it within zoning. </w:t>
      </w:r>
    </w:p>
    <w:p w14:paraId="0FD4B06D" w14:textId="77777777" w:rsidR="001E0EF3" w:rsidRDefault="001E0EF3">
      <w:pPr>
        <w:rPr>
          <w:rFonts w:ascii="Arial" w:eastAsia="Times New Roman" w:hAnsi="Arial" w:cs="Times New Roman"/>
          <w:b/>
          <w:szCs w:val="24"/>
          <w:lang w:val="en-GB"/>
        </w:rPr>
      </w:pPr>
      <w:r>
        <w:br w:type="page"/>
      </w:r>
    </w:p>
    <w:p w14:paraId="36510FE6" w14:textId="6CEB0967" w:rsidR="00AE1BAF" w:rsidRDefault="00AE1BAF" w:rsidP="00172D3A">
      <w:pPr>
        <w:pStyle w:val="Heading3"/>
      </w:pPr>
      <w:r>
        <w:lastRenderedPageBreak/>
        <w:t>Prepared by:</w:t>
      </w:r>
    </w:p>
    <w:p w14:paraId="19572D01" w14:textId="0D133212" w:rsidR="00B34367" w:rsidRPr="00B34367" w:rsidRDefault="00B34367" w:rsidP="00AE1BAF">
      <w:pPr>
        <w:spacing w:after="0" w:line="240" w:lineRule="auto"/>
        <w:rPr>
          <w:rFonts w:cstheme="minorHAnsi"/>
          <w:lang w:val="en-US"/>
        </w:rPr>
      </w:pPr>
      <w:r w:rsidRPr="00B34367">
        <w:rPr>
          <w:rFonts w:cstheme="minorHAnsi"/>
          <w:lang w:val="en-US"/>
        </w:rPr>
        <w:t>Original signed by:</w:t>
      </w:r>
    </w:p>
    <w:p w14:paraId="1F7CFB61" w14:textId="3313CAC8" w:rsidR="00AE1BAF" w:rsidRDefault="00AE1BAF" w:rsidP="00AE1BAF">
      <w:pPr>
        <w:spacing w:after="0" w:line="240" w:lineRule="auto"/>
        <w:rPr>
          <w:rFonts w:cstheme="minorHAnsi"/>
          <w:b/>
          <w:bCs/>
          <w:lang w:val="en-US"/>
        </w:rPr>
      </w:pPr>
      <w:r>
        <w:rPr>
          <w:rFonts w:cstheme="minorHAnsi"/>
          <w:b/>
          <w:bCs/>
          <w:lang w:val="en-US"/>
        </w:rPr>
        <w:t>______________________</w:t>
      </w:r>
    </w:p>
    <w:p w14:paraId="470E077B" w14:textId="13A6BE13" w:rsidR="00AE1BAF" w:rsidRDefault="00D5465C" w:rsidP="00AE1BAF">
      <w:pPr>
        <w:spacing w:after="0" w:line="240" w:lineRule="auto"/>
        <w:rPr>
          <w:rFonts w:cstheme="minorHAnsi"/>
          <w:lang w:val="en-US"/>
        </w:rPr>
      </w:pPr>
      <w:r>
        <w:rPr>
          <w:rFonts w:cstheme="minorHAnsi"/>
          <w:lang w:val="en-US"/>
        </w:rPr>
        <w:t>Sandy Dobbyn</w:t>
      </w:r>
    </w:p>
    <w:p w14:paraId="51236058" w14:textId="0E4BF2C3" w:rsidR="00AE1BAF" w:rsidRDefault="00D5465C"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780ED0C8" w14:textId="356F808C" w:rsidR="00AE1BAF" w:rsidRDefault="00AE1BAF" w:rsidP="00172D3A">
      <w:pPr>
        <w:pStyle w:val="Heading3"/>
      </w:pPr>
      <w:r w:rsidRPr="00E47C62">
        <w:t>Approved by:</w:t>
      </w:r>
    </w:p>
    <w:p w14:paraId="707EA28A" w14:textId="24F1A35D" w:rsidR="001F1895" w:rsidRPr="004B4F1F" w:rsidRDefault="00B34367" w:rsidP="00AE1BAF">
      <w:pPr>
        <w:spacing w:after="0" w:line="240" w:lineRule="auto"/>
        <w:rPr>
          <w:rFonts w:cstheme="minorHAnsi"/>
          <w:i/>
          <w:iCs/>
          <w:lang w:val="en-US"/>
        </w:rPr>
      </w:pPr>
      <w:r w:rsidRPr="004B4F1F">
        <w:rPr>
          <w:rFonts w:cstheme="minorHAnsi"/>
          <w:i/>
          <w:iCs/>
          <w:lang w:val="en-US"/>
        </w:rPr>
        <w:t>Original signed by:</w:t>
      </w:r>
    </w:p>
    <w:p w14:paraId="30B34BBC" w14:textId="0978250F" w:rsidR="00AE1BAF" w:rsidRDefault="00AE1BAF" w:rsidP="46409738">
      <w:pPr>
        <w:spacing w:after="0" w:line="240" w:lineRule="auto"/>
        <w:rPr>
          <w:b/>
          <w:bCs/>
          <w:lang w:val="en-US"/>
        </w:rPr>
      </w:pPr>
      <w:r w:rsidRPr="46409738">
        <w:rPr>
          <w:b/>
          <w:bCs/>
          <w:lang w:val="en-US"/>
        </w:rPr>
        <w:t>_______________________</w:t>
      </w:r>
    </w:p>
    <w:p w14:paraId="1F92066F" w14:textId="76C46E18" w:rsidR="00AE1BAF" w:rsidRDefault="00AE1BAF" w:rsidP="46409738">
      <w:pPr>
        <w:spacing w:after="0" w:line="240" w:lineRule="auto"/>
        <w:rPr>
          <w:lang w:val="en-US"/>
        </w:rPr>
      </w:pPr>
      <w:r w:rsidRPr="46409738">
        <w:rPr>
          <w:lang w:val="en-US"/>
        </w:rPr>
        <w:t>Kim Peters, MCIP, RPP</w:t>
      </w:r>
    </w:p>
    <w:p w14:paraId="6AFE048D" w14:textId="53994A44" w:rsidR="46409738" w:rsidRDefault="46409738" w:rsidP="46409738">
      <w:pPr>
        <w:spacing w:after="0" w:line="240" w:lineRule="auto"/>
      </w:pPr>
      <w:r w:rsidRPr="46409738">
        <w:rPr>
          <w:lang w:val="en-US"/>
        </w:rPr>
        <w:t>Manager</w:t>
      </w:r>
    </w:p>
    <w:p w14:paraId="07397133" w14:textId="77777777" w:rsidR="00AC2E31" w:rsidRDefault="00AC2E31" w:rsidP="00AE1BAF">
      <w:pPr>
        <w:spacing w:after="0" w:line="240" w:lineRule="auto"/>
        <w:rPr>
          <w:rFonts w:cstheme="minorHAnsi"/>
          <w:lang w:val="en-US"/>
        </w:rPr>
      </w:pPr>
    </w:p>
    <w:p w14:paraId="2D6C7730" w14:textId="21D90736" w:rsidR="00E97AA8" w:rsidRDefault="00E755F3" w:rsidP="00F61031">
      <w:pPr>
        <w:pStyle w:val="Heading3"/>
      </w:pPr>
      <w:r>
        <w:t>Attachments:</w:t>
      </w:r>
    </w:p>
    <w:p w14:paraId="1BC29A18" w14:textId="79182FB8" w:rsidR="000E0D76" w:rsidRDefault="000E0D76">
      <w:pPr>
        <w:rPr>
          <w:rFonts w:cstheme="minorHAnsi"/>
          <w:lang w:val="en-US"/>
        </w:rPr>
      </w:pPr>
      <w:r>
        <w:rPr>
          <w:rFonts w:cstheme="minorHAnsi"/>
          <w:lang w:val="en-US"/>
        </w:rPr>
        <w:t>Appendix 1. Ortho Photo of Subject Property</w:t>
      </w:r>
    </w:p>
    <w:p w14:paraId="5174B5C2" w14:textId="4D932977" w:rsidR="000E0D76" w:rsidRDefault="000E0D76">
      <w:pPr>
        <w:rPr>
          <w:rFonts w:cstheme="minorHAnsi"/>
          <w:lang w:val="en-US"/>
        </w:rPr>
      </w:pPr>
      <w:r>
        <w:rPr>
          <w:rFonts w:cstheme="minorHAnsi"/>
          <w:lang w:val="en-US"/>
        </w:rPr>
        <w:t xml:space="preserve">Appendix </w:t>
      </w:r>
      <w:r w:rsidR="001E0EF3">
        <w:rPr>
          <w:rFonts w:cstheme="minorHAnsi"/>
          <w:lang w:val="en-US"/>
        </w:rPr>
        <w:t>2</w:t>
      </w:r>
      <w:r>
        <w:rPr>
          <w:rFonts w:cstheme="minorHAnsi"/>
          <w:lang w:val="en-US"/>
        </w:rPr>
        <w:t>. Proposed Site Plan</w:t>
      </w:r>
    </w:p>
    <w:p w14:paraId="192939C1" w14:textId="2B2703DF" w:rsidR="000E0D76" w:rsidRDefault="000E0D76">
      <w:pPr>
        <w:rPr>
          <w:rFonts w:cstheme="minorHAnsi"/>
          <w:lang w:val="en-US"/>
        </w:rPr>
      </w:pPr>
      <w:r>
        <w:rPr>
          <w:rFonts w:cstheme="minorHAnsi"/>
          <w:lang w:val="en-US"/>
        </w:rPr>
        <w:t xml:space="preserve">Appendix </w:t>
      </w:r>
      <w:r w:rsidR="001E0EF3">
        <w:rPr>
          <w:rFonts w:cstheme="minorHAnsi"/>
          <w:lang w:val="en-US"/>
        </w:rPr>
        <w:t>3</w:t>
      </w:r>
      <w:r>
        <w:rPr>
          <w:rFonts w:cstheme="minorHAnsi"/>
          <w:lang w:val="en-US"/>
        </w:rPr>
        <w:t>. Concept Drawing</w:t>
      </w:r>
    </w:p>
    <w:p w14:paraId="7B8FAEBD" w14:textId="43CA38EE" w:rsidR="000E0D76" w:rsidRDefault="000E0D76">
      <w:pPr>
        <w:rPr>
          <w:rFonts w:cstheme="minorHAnsi"/>
          <w:lang w:val="en-US"/>
        </w:rPr>
      </w:pPr>
      <w:r>
        <w:rPr>
          <w:rFonts w:cstheme="minorHAnsi"/>
          <w:lang w:val="en-US"/>
        </w:rPr>
        <w:t xml:space="preserve">Appendix </w:t>
      </w:r>
      <w:r w:rsidR="001E0EF3">
        <w:rPr>
          <w:rFonts w:cstheme="minorHAnsi"/>
          <w:lang w:val="en-US"/>
        </w:rPr>
        <w:t>4</w:t>
      </w:r>
      <w:r>
        <w:rPr>
          <w:rFonts w:cstheme="minorHAnsi"/>
          <w:lang w:val="en-US"/>
        </w:rPr>
        <w:t>. Main Floor Plans</w:t>
      </w:r>
    </w:p>
    <w:p w14:paraId="3991F491" w14:textId="7B7FB260" w:rsidR="000E0D76" w:rsidRDefault="000E0D76">
      <w:pPr>
        <w:rPr>
          <w:rFonts w:cstheme="minorHAnsi"/>
          <w:lang w:val="en-US"/>
        </w:rPr>
      </w:pPr>
      <w:r>
        <w:rPr>
          <w:rFonts w:cstheme="minorHAnsi"/>
          <w:lang w:val="en-US"/>
        </w:rPr>
        <w:t xml:space="preserve">Appendix </w:t>
      </w:r>
      <w:r w:rsidR="001E0EF3">
        <w:rPr>
          <w:rFonts w:cstheme="minorHAnsi"/>
          <w:lang w:val="en-US"/>
        </w:rPr>
        <w:t>5</w:t>
      </w:r>
      <w:r>
        <w:rPr>
          <w:rFonts w:cstheme="minorHAnsi"/>
          <w:lang w:val="en-US"/>
        </w:rPr>
        <w:t>. Second Floor Plans</w:t>
      </w:r>
    </w:p>
    <w:p w14:paraId="3561874B" w14:textId="4C8EB989" w:rsidR="001E0EF3" w:rsidRDefault="001E0EF3">
      <w:pPr>
        <w:rPr>
          <w:rFonts w:cstheme="minorHAnsi"/>
          <w:lang w:val="en-US"/>
        </w:rPr>
        <w:sectPr w:rsidR="001E0EF3"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bookmarkStart w:id="0" w:name="_Hlk70081498"/>
    </w:p>
    <w:p w14:paraId="0FD9B8AA" w14:textId="77777777" w:rsidR="000E0D76" w:rsidRDefault="000E0D76" w:rsidP="000E0D76">
      <w:pPr>
        <w:pStyle w:val="Heading2"/>
        <w:jc w:val="center"/>
        <w:rPr>
          <w:lang w:val="en-US"/>
        </w:rPr>
      </w:pPr>
      <w:r>
        <w:rPr>
          <w:lang w:val="en-US"/>
        </w:rPr>
        <w:lastRenderedPageBreak/>
        <w:t>APPENDIX 1</w:t>
      </w:r>
    </w:p>
    <w:p w14:paraId="2E8E18DE" w14:textId="405BE7EF" w:rsidR="000E0D76" w:rsidRPr="000E0D76" w:rsidRDefault="000E0D76" w:rsidP="000E0D76">
      <w:pPr>
        <w:jc w:val="center"/>
        <w:rPr>
          <w:lang w:val="en-US"/>
        </w:rPr>
      </w:pPr>
      <w:r>
        <w:rPr>
          <w:lang w:val="en-US"/>
        </w:rPr>
        <w:t>Ortho Photo of Subject Property</w:t>
      </w:r>
    </w:p>
    <w:p w14:paraId="7F39A17F" w14:textId="06C6B350" w:rsidR="000E0D76" w:rsidRDefault="000E0D76">
      <w:pPr>
        <w:rPr>
          <w:rFonts w:ascii="Arial" w:eastAsia="Times New Roman" w:hAnsi="Arial" w:cs="Arial"/>
          <w:b/>
          <w:szCs w:val="24"/>
          <w:lang w:val="en-US"/>
        </w:rPr>
      </w:pPr>
      <w:r w:rsidRPr="000E0D76">
        <w:rPr>
          <w:noProof/>
          <w:lang w:val="en-US"/>
        </w:rPr>
        <w:drawing>
          <wp:inline distT="0" distB="0" distL="0" distR="0" wp14:anchorId="6B0DED77" wp14:editId="3B6DE56E">
            <wp:extent cx="6918593" cy="5237732"/>
            <wp:effectExtent l="0" t="0" r="0" b="1270"/>
            <wp:docPr id="8" name="Picture 8" descr="Orthophoto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thophoto of subject property."/>
                    <pic:cNvPicPr/>
                  </pic:nvPicPr>
                  <pic:blipFill>
                    <a:blip r:embed="rId17"/>
                    <a:stretch>
                      <a:fillRect/>
                    </a:stretch>
                  </pic:blipFill>
                  <pic:spPr>
                    <a:xfrm>
                      <a:off x="0" y="0"/>
                      <a:ext cx="6931628" cy="5247600"/>
                    </a:xfrm>
                    <a:prstGeom prst="rect">
                      <a:avLst/>
                    </a:prstGeom>
                  </pic:spPr>
                </pic:pic>
              </a:graphicData>
            </a:graphic>
          </wp:inline>
        </w:drawing>
      </w:r>
    </w:p>
    <w:p w14:paraId="30444C97" w14:textId="67F7B32F" w:rsidR="00AE1BAF" w:rsidRPr="001E0EF3" w:rsidRDefault="000E0D76" w:rsidP="001E0EF3">
      <w:pPr>
        <w:jc w:val="center"/>
        <w:rPr>
          <w:b/>
          <w:bCs/>
          <w:lang w:val="en-US"/>
        </w:rPr>
      </w:pPr>
      <w:r>
        <w:rPr>
          <w:lang w:val="en-US"/>
        </w:rPr>
        <w:br w:type="page"/>
      </w:r>
      <w:r w:rsidR="00337798" w:rsidRPr="001E0EF3">
        <w:rPr>
          <w:b/>
          <w:bCs/>
          <w:lang w:val="en-US"/>
        </w:rPr>
        <w:lastRenderedPageBreak/>
        <w:t>APPENDIX</w:t>
      </w:r>
      <w:r w:rsidR="008F30D3" w:rsidRPr="001E0EF3">
        <w:rPr>
          <w:b/>
          <w:bCs/>
          <w:lang w:val="en-US"/>
        </w:rPr>
        <w:t xml:space="preserve"> </w:t>
      </w:r>
      <w:r w:rsidR="001E0EF3">
        <w:rPr>
          <w:b/>
          <w:bCs/>
          <w:lang w:val="en-US"/>
        </w:rPr>
        <w:t>2</w:t>
      </w:r>
    </w:p>
    <w:p w14:paraId="5A88D98C" w14:textId="7B9A2BEF" w:rsidR="000E0D76" w:rsidRPr="000E0D76" w:rsidRDefault="000E0D76" w:rsidP="000E0D76">
      <w:pPr>
        <w:jc w:val="center"/>
        <w:rPr>
          <w:lang w:val="en-US"/>
        </w:rPr>
      </w:pPr>
      <w:r>
        <w:rPr>
          <w:lang w:val="en-US"/>
        </w:rPr>
        <w:t>Proposed Site Plan</w:t>
      </w:r>
    </w:p>
    <w:bookmarkEnd w:id="0"/>
    <w:p w14:paraId="0A3CF266" w14:textId="0B7B26DF" w:rsidR="000872F5" w:rsidRDefault="005A77A9" w:rsidP="005A77A9">
      <w:pPr>
        <w:spacing w:after="0" w:line="240" w:lineRule="auto"/>
        <w:contextualSpacing/>
        <w:rPr>
          <w:rFonts w:ascii="Arial" w:hAnsi="Arial" w:cs="Arial"/>
          <w:szCs w:val="24"/>
        </w:rPr>
      </w:pPr>
      <w:r w:rsidRPr="005A77A9">
        <w:rPr>
          <w:rFonts w:ascii="Arial" w:hAnsi="Arial" w:cs="Arial"/>
          <w:noProof/>
          <w:szCs w:val="24"/>
        </w:rPr>
        <w:drawing>
          <wp:inline distT="0" distB="0" distL="0" distR="0" wp14:anchorId="4FF6193D" wp14:editId="0B4335E7">
            <wp:extent cx="8345474" cy="5192735"/>
            <wp:effectExtent l="0" t="0" r="0" b="8255"/>
            <wp:docPr id="3" name="Picture 3"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te plan."/>
                    <pic:cNvPicPr/>
                  </pic:nvPicPr>
                  <pic:blipFill>
                    <a:blip r:embed="rId18"/>
                    <a:stretch>
                      <a:fillRect/>
                    </a:stretch>
                  </pic:blipFill>
                  <pic:spPr>
                    <a:xfrm>
                      <a:off x="0" y="0"/>
                      <a:ext cx="8400323" cy="5226863"/>
                    </a:xfrm>
                    <a:prstGeom prst="rect">
                      <a:avLst/>
                    </a:prstGeom>
                  </pic:spPr>
                </pic:pic>
              </a:graphicData>
            </a:graphic>
          </wp:inline>
        </w:drawing>
      </w:r>
    </w:p>
    <w:p w14:paraId="47DF6453" w14:textId="56DB7818" w:rsidR="000E0D76" w:rsidRPr="001E0EF3" w:rsidRDefault="001E0EF3" w:rsidP="001E0EF3">
      <w:pPr>
        <w:jc w:val="center"/>
        <w:rPr>
          <w:b/>
          <w:bCs/>
          <w:lang w:val="en-US"/>
        </w:rPr>
      </w:pPr>
      <w:r>
        <w:rPr>
          <w:lang w:val="en-US"/>
        </w:rPr>
        <w:br w:type="page"/>
      </w:r>
      <w:r w:rsidR="000E0D76" w:rsidRPr="001E0EF3">
        <w:rPr>
          <w:b/>
          <w:bCs/>
          <w:lang w:val="en-US"/>
        </w:rPr>
        <w:lastRenderedPageBreak/>
        <w:t xml:space="preserve">APPENDIX </w:t>
      </w:r>
      <w:r>
        <w:rPr>
          <w:b/>
          <w:bCs/>
          <w:lang w:val="en-US"/>
        </w:rPr>
        <w:t>3</w:t>
      </w:r>
    </w:p>
    <w:p w14:paraId="6018A52F" w14:textId="40946928" w:rsidR="000E0D76" w:rsidRPr="000E0D76" w:rsidRDefault="000E0D76" w:rsidP="000E0D76">
      <w:pPr>
        <w:jc w:val="center"/>
        <w:rPr>
          <w:lang w:val="en-US"/>
        </w:rPr>
      </w:pPr>
      <w:r>
        <w:rPr>
          <w:lang w:val="en-US"/>
        </w:rPr>
        <w:t>Concept Drawings</w:t>
      </w:r>
    </w:p>
    <w:p w14:paraId="0E8EF81B" w14:textId="1DD0D50A" w:rsidR="000E0D76" w:rsidRDefault="000E0D76" w:rsidP="005A77A9">
      <w:pPr>
        <w:spacing w:after="0" w:line="240" w:lineRule="auto"/>
        <w:contextualSpacing/>
        <w:rPr>
          <w:rFonts w:ascii="Arial" w:hAnsi="Arial" w:cs="Arial"/>
          <w:szCs w:val="24"/>
        </w:rPr>
      </w:pPr>
    </w:p>
    <w:p w14:paraId="6F89A112" w14:textId="225D8B9B" w:rsidR="000E0D76" w:rsidRDefault="000E0D76" w:rsidP="005A77A9">
      <w:pPr>
        <w:spacing w:after="0" w:line="240" w:lineRule="auto"/>
        <w:contextualSpacing/>
        <w:rPr>
          <w:rFonts w:ascii="Arial" w:hAnsi="Arial" w:cs="Arial"/>
          <w:szCs w:val="24"/>
        </w:rPr>
      </w:pPr>
      <w:r w:rsidRPr="000E0D76">
        <w:rPr>
          <w:rFonts w:ascii="Arial" w:hAnsi="Arial" w:cs="Arial"/>
          <w:noProof/>
          <w:szCs w:val="24"/>
        </w:rPr>
        <w:drawing>
          <wp:inline distT="0" distB="0" distL="0" distR="0" wp14:anchorId="3E57B5B8" wp14:editId="4599971B">
            <wp:extent cx="8064347" cy="5081573"/>
            <wp:effectExtent l="0" t="0" r="0" b="5080"/>
            <wp:docPr id="5" name="Picture 5" descr="External view concept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nal view concept drawings."/>
                    <pic:cNvPicPr/>
                  </pic:nvPicPr>
                  <pic:blipFill>
                    <a:blip r:embed="rId19"/>
                    <a:stretch>
                      <a:fillRect/>
                    </a:stretch>
                  </pic:blipFill>
                  <pic:spPr>
                    <a:xfrm>
                      <a:off x="0" y="0"/>
                      <a:ext cx="8092378" cy="5099236"/>
                    </a:xfrm>
                    <a:prstGeom prst="rect">
                      <a:avLst/>
                    </a:prstGeom>
                  </pic:spPr>
                </pic:pic>
              </a:graphicData>
            </a:graphic>
          </wp:inline>
        </w:drawing>
      </w:r>
    </w:p>
    <w:p w14:paraId="7E2557C6" w14:textId="628DA508" w:rsidR="000E0D76" w:rsidRPr="001E0EF3" w:rsidRDefault="000E0D76" w:rsidP="001E0EF3">
      <w:pPr>
        <w:jc w:val="center"/>
        <w:rPr>
          <w:b/>
          <w:bCs/>
          <w:lang w:val="en-US"/>
        </w:rPr>
      </w:pPr>
      <w:r>
        <w:rPr>
          <w:rFonts w:ascii="Arial" w:hAnsi="Arial" w:cs="Arial"/>
          <w:szCs w:val="24"/>
        </w:rPr>
        <w:br w:type="page"/>
      </w:r>
      <w:r w:rsidRPr="001E0EF3">
        <w:rPr>
          <w:b/>
          <w:bCs/>
          <w:lang w:val="en-US"/>
        </w:rPr>
        <w:lastRenderedPageBreak/>
        <w:t xml:space="preserve">APPENDIX </w:t>
      </w:r>
      <w:r w:rsidR="001E0EF3">
        <w:rPr>
          <w:b/>
          <w:bCs/>
          <w:lang w:val="en-US"/>
        </w:rPr>
        <w:t>4</w:t>
      </w:r>
    </w:p>
    <w:p w14:paraId="79A54C86" w14:textId="3E75351A" w:rsidR="000E0D76" w:rsidRPr="000E0D76" w:rsidRDefault="000E0D76" w:rsidP="000E0D76">
      <w:pPr>
        <w:jc w:val="center"/>
        <w:rPr>
          <w:lang w:val="en-US"/>
        </w:rPr>
      </w:pPr>
      <w:r>
        <w:rPr>
          <w:lang w:val="en-US"/>
        </w:rPr>
        <w:t>Main Floor Layout</w:t>
      </w:r>
    </w:p>
    <w:p w14:paraId="55AB2955" w14:textId="1F98F041" w:rsidR="000E0D76" w:rsidRDefault="00B34367" w:rsidP="005A77A9">
      <w:pPr>
        <w:spacing w:after="0" w:line="240" w:lineRule="auto"/>
        <w:contextualSpacing/>
        <w:rPr>
          <w:rFonts w:ascii="Arial" w:hAnsi="Arial" w:cs="Arial"/>
          <w:szCs w:val="24"/>
        </w:rPr>
      </w:pPr>
      <w:r>
        <w:rPr>
          <w:rFonts w:ascii="Arial" w:hAnsi="Arial" w:cs="Arial"/>
          <w:noProof/>
          <w:szCs w:val="24"/>
        </w:rPr>
        <w:t xml:space="preserve">Main floor </w:t>
      </w:r>
      <w:r w:rsidR="000E0D76" w:rsidRPr="000E0D76">
        <w:rPr>
          <w:rFonts w:ascii="Arial" w:hAnsi="Arial" w:cs="Arial"/>
          <w:noProof/>
          <w:szCs w:val="24"/>
        </w:rPr>
        <w:drawing>
          <wp:inline distT="0" distB="0" distL="0" distR="0" wp14:anchorId="2184533D" wp14:editId="33BC6034">
            <wp:extent cx="7910060" cy="5056184"/>
            <wp:effectExtent l="0" t="0" r="0" b="0"/>
            <wp:docPr id="6" name="Picture 6" descr="Main floo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in floor layout."/>
                    <pic:cNvPicPr/>
                  </pic:nvPicPr>
                  <pic:blipFill>
                    <a:blip r:embed="rId20"/>
                    <a:stretch>
                      <a:fillRect/>
                    </a:stretch>
                  </pic:blipFill>
                  <pic:spPr>
                    <a:xfrm>
                      <a:off x="0" y="0"/>
                      <a:ext cx="7928104" cy="5067718"/>
                    </a:xfrm>
                    <a:prstGeom prst="rect">
                      <a:avLst/>
                    </a:prstGeom>
                  </pic:spPr>
                </pic:pic>
              </a:graphicData>
            </a:graphic>
          </wp:inline>
        </w:drawing>
      </w:r>
    </w:p>
    <w:p w14:paraId="2EB107B9" w14:textId="27963D87" w:rsidR="000E0D76" w:rsidRDefault="000E0D76" w:rsidP="000E0D76">
      <w:pPr>
        <w:pStyle w:val="Heading2"/>
        <w:jc w:val="center"/>
        <w:rPr>
          <w:lang w:val="en-US"/>
        </w:rPr>
      </w:pPr>
      <w:r>
        <w:rPr>
          <w:lang w:val="en-US"/>
        </w:rPr>
        <w:lastRenderedPageBreak/>
        <w:t xml:space="preserve">APPENDIX </w:t>
      </w:r>
      <w:r w:rsidR="001E0EF3">
        <w:rPr>
          <w:lang w:val="en-US"/>
        </w:rPr>
        <w:t>5</w:t>
      </w:r>
    </w:p>
    <w:p w14:paraId="58822204" w14:textId="4A8821CD" w:rsidR="000E0D76" w:rsidRPr="000E0D76" w:rsidRDefault="000E0D76" w:rsidP="000E0D76">
      <w:pPr>
        <w:jc w:val="center"/>
        <w:rPr>
          <w:lang w:val="en-US"/>
        </w:rPr>
      </w:pPr>
      <w:r>
        <w:rPr>
          <w:lang w:val="en-US"/>
        </w:rPr>
        <w:t>Second Floor Layout</w:t>
      </w:r>
    </w:p>
    <w:p w14:paraId="3BA2B073" w14:textId="4DA65059" w:rsidR="000E0D76" w:rsidRDefault="000E0D76" w:rsidP="005A77A9">
      <w:pPr>
        <w:spacing w:after="0" w:line="240" w:lineRule="auto"/>
        <w:contextualSpacing/>
        <w:rPr>
          <w:rFonts w:ascii="Arial" w:hAnsi="Arial" w:cs="Arial"/>
          <w:szCs w:val="24"/>
        </w:rPr>
      </w:pPr>
    </w:p>
    <w:p w14:paraId="00654EB6" w14:textId="024472C9" w:rsidR="000E0D76" w:rsidRDefault="000E0D76" w:rsidP="005A77A9">
      <w:pPr>
        <w:spacing w:after="0" w:line="240" w:lineRule="auto"/>
        <w:contextualSpacing/>
        <w:rPr>
          <w:rFonts w:ascii="Arial" w:hAnsi="Arial" w:cs="Arial"/>
          <w:szCs w:val="24"/>
        </w:rPr>
      </w:pPr>
      <w:r w:rsidRPr="000E0D76">
        <w:rPr>
          <w:rFonts w:ascii="Arial" w:hAnsi="Arial" w:cs="Arial"/>
          <w:noProof/>
          <w:szCs w:val="24"/>
        </w:rPr>
        <w:drawing>
          <wp:inline distT="0" distB="0" distL="0" distR="0" wp14:anchorId="16F445F0" wp14:editId="794F1D08">
            <wp:extent cx="7855027" cy="5066325"/>
            <wp:effectExtent l="0" t="0" r="0" b="1270"/>
            <wp:docPr id="7" name="Picture 7" descr="Second floo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cond floor layout."/>
                    <pic:cNvPicPr/>
                  </pic:nvPicPr>
                  <pic:blipFill>
                    <a:blip r:embed="rId21"/>
                    <a:stretch>
                      <a:fillRect/>
                    </a:stretch>
                  </pic:blipFill>
                  <pic:spPr>
                    <a:xfrm>
                      <a:off x="0" y="0"/>
                      <a:ext cx="7867107" cy="5074116"/>
                    </a:xfrm>
                    <a:prstGeom prst="rect">
                      <a:avLst/>
                    </a:prstGeom>
                  </pic:spPr>
                </pic:pic>
              </a:graphicData>
            </a:graphic>
          </wp:inline>
        </w:drawing>
      </w:r>
    </w:p>
    <w:sectPr w:rsidR="000E0D76" w:rsidSect="001E0EF3">
      <w:pgSz w:w="15840" w:h="12240" w:orient="landscape"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C9C8A" w14:textId="77777777" w:rsidR="00CE7088" w:rsidRDefault="00CE7088" w:rsidP="00F72078">
      <w:pPr>
        <w:spacing w:after="0" w:line="240" w:lineRule="auto"/>
      </w:pPr>
      <w:r>
        <w:separator/>
      </w:r>
    </w:p>
  </w:endnote>
  <w:endnote w:type="continuationSeparator" w:id="0">
    <w:p w14:paraId="48D28E3B" w14:textId="77777777" w:rsidR="00CE7088" w:rsidRDefault="00CE7088" w:rsidP="00F72078">
      <w:pPr>
        <w:spacing w:after="0" w:line="240" w:lineRule="auto"/>
      </w:pPr>
      <w:r>
        <w:continuationSeparator/>
      </w:r>
    </w:p>
  </w:endnote>
  <w:endnote w:type="continuationNotice" w:id="1">
    <w:p w14:paraId="3A60B161" w14:textId="77777777" w:rsidR="00CE7088" w:rsidRDefault="00CE7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08C5" w14:textId="77777777" w:rsidR="005A7F21" w:rsidRDefault="005A7F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BB6AF" w14:textId="77777777" w:rsidR="00CE7088" w:rsidRDefault="00CE7088" w:rsidP="00F72078">
      <w:pPr>
        <w:spacing w:after="0" w:line="240" w:lineRule="auto"/>
      </w:pPr>
      <w:r>
        <w:separator/>
      </w:r>
    </w:p>
  </w:footnote>
  <w:footnote w:type="continuationSeparator" w:id="0">
    <w:p w14:paraId="326251AA" w14:textId="77777777" w:rsidR="00CE7088" w:rsidRDefault="00CE7088" w:rsidP="00F72078">
      <w:pPr>
        <w:spacing w:after="0" w:line="240" w:lineRule="auto"/>
      </w:pPr>
      <w:r>
        <w:continuationSeparator/>
      </w:r>
    </w:p>
  </w:footnote>
  <w:footnote w:type="continuationNotice" w:id="1">
    <w:p w14:paraId="3A4CB72E" w14:textId="77777777" w:rsidR="00CE7088" w:rsidRDefault="00CE70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FD27" w14:textId="77777777" w:rsidR="005A7F21" w:rsidRDefault="005A7F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3CDA" w14:textId="77777777" w:rsidR="005A7F21" w:rsidRDefault="005A7F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875F54"/>
    <w:multiLevelType w:val="hybridMultilevel"/>
    <w:tmpl w:val="4DF88D74"/>
    <w:lvl w:ilvl="0" w:tplc="10090005">
      <w:start w:val="1"/>
      <w:numFmt w:val="bullet"/>
      <w:lvlText w:val=""/>
      <w:lvlJc w:val="left"/>
      <w:pPr>
        <w:tabs>
          <w:tab w:val="num" w:pos="720"/>
        </w:tabs>
        <w:ind w:left="720" w:hanging="360"/>
      </w:pPr>
      <w:rPr>
        <w:rFonts w:ascii="Wingdings" w:hAnsi="Wingdings" w:hint="default"/>
      </w:rPr>
    </w:lvl>
    <w:lvl w:ilvl="1" w:tplc="AD3AF846">
      <w:start w:val="1"/>
      <w:numFmt w:val="decimal"/>
      <w:lvlText w:val="%2."/>
      <w:lvlJc w:val="left"/>
      <w:pPr>
        <w:tabs>
          <w:tab w:val="num" w:pos="1440"/>
        </w:tabs>
        <w:ind w:left="1440" w:hanging="360"/>
      </w:pPr>
      <w:rPr>
        <w:rFonts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1">
    <w:nsid w:val="63A75285"/>
    <w:multiLevelType w:val="hybridMultilevel"/>
    <w:tmpl w:val="F7B69FD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5"/>
  </w:num>
  <w:num w:numId="2">
    <w:abstractNumId w:val="9"/>
  </w:num>
  <w:num w:numId="3">
    <w:abstractNumId w:val="11"/>
  </w:num>
  <w:num w:numId="4">
    <w:abstractNumId w:val="2"/>
  </w:num>
  <w:num w:numId="5">
    <w:abstractNumId w:val="1"/>
  </w:num>
  <w:num w:numId="6">
    <w:abstractNumId w:val="6"/>
  </w:num>
  <w:num w:numId="7">
    <w:abstractNumId w:val="0"/>
  </w:num>
  <w:num w:numId="8">
    <w:abstractNumId w:val="7"/>
  </w:num>
  <w:num w:numId="9">
    <w:abstractNumId w:val="3"/>
  </w:num>
  <w:num w:numId="10">
    <w:abstractNumId w:val="1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244F8"/>
    <w:rsid w:val="00035A2C"/>
    <w:rsid w:val="00045361"/>
    <w:rsid w:val="00050B41"/>
    <w:rsid w:val="00051B1A"/>
    <w:rsid w:val="00082994"/>
    <w:rsid w:val="000872F5"/>
    <w:rsid w:val="000977F5"/>
    <w:rsid w:val="000A0119"/>
    <w:rsid w:val="000A1A28"/>
    <w:rsid w:val="000D3A0A"/>
    <w:rsid w:val="000E0D76"/>
    <w:rsid w:val="000E249F"/>
    <w:rsid w:val="000F3ED9"/>
    <w:rsid w:val="000F5131"/>
    <w:rsid w:val="000F75BB"/>
    <w:rsid w:val="00101072"/>
    <w:rsid w:val="00103AEA"/>
    <w:rsid w:val="00110437"/>
    <w:rsid w:val="00115A16"/>
    <w:rsid w:val="001227D9"/>
    <w:rsid w:val="00130A04"/>
    <w:rsid w:val="00130AEB"/>
    <w:rsid w:val="001408EF"/>
    <w:rsid w:val="00141D10"/>
    <w:rsid w:val="00166BEF"/>
    <w:rsid w:val="00172D3A"/>
    <w:rsid w:val="001851DB"/>
    <w:rsid w:val="00194885"/>
    <w:rsid w:val="001A4B64"/>
    <w:rsid w:val="001A6A9E"/>
    <w:rsid w:val="001C37B4"/>
    <w:rsid w:val="001D76A0"/>
    <w:rsid w:val="001E0EF3"/>
    <w:rsid w:val="001F129E"/>
    <w:rsid w:val="001F1895"/>
    <w:rsid w:val="00203E14"/>
    <w:rsid w:val="0021320B"/>
    <w:rsid w:val="002135BD"/>
    <w:rsid w:val="00225BE4"/>
    <w:rsid w:val="00227C52"/>
    <w:rsid w:val="002333E4"/>
    <w:rsid w:val="002368DC"/>
    <w:rsid w:val="00254BFD"/>
    <w:rsid w:val="0027693D"/>
    <w:rsid w:val="00291B51"/>
    <w:rsid w:val="002A1104"/>
    <w:rsid w:val="002A433D"/>
    <w:rsid w:val="002B6A43"/>
    <w:rsid w:val="002D5DA5"/>
    <w:rsid w:val="002E6FF6"/>
    <w:rsid w:val="002F129C"/>
    <w:rsid w:val="003014B4"/>
    <w:rsid w:val="00304308"/>
    <w:rsid w:val="00317F1F"/>
    <w:rsid w:val="00324C27"/>
    <w:rsid w:val="00334CAE"/>
    <w:rsid w:val="00337798"/>
    <w:rsid w:val="0035152F"/>
    <w:rsid w:val="0036413B"/>
    <w:rsid w:val="00392C66"/>
    <w:rsid w:val="003A1F0D"/>
    <w:rsid w:val="003B41F6"/>
    <w:rsid w:val="003C544A"/>
    <w:rsid w:val="003D1164"/>
    <w:rsid w:val="003E19A0"/>
    <w:rsid w:val="003E2E4A"/>
    <w:rsid w:val="003E5CB1"/>
    <w:rsid w:val="003F3509"/>
    <w:rsid w:val="003F5818"/>
    <w:rsid w:val="00404C1A"/>
    <w:rsid w:val="00414A2C"/>
    <w:rsid w:val="0041720E"/>
    <w:rsid w:val="00424FF5"/>
    <w:rsid w:val="004324FE"/>
    <w:rsid w:val="00436CBD"/>
    <w:rsid w:val="00446EC3"/>
    <w:rsid w:val="00451119"/>
    <w:rsid w:val="00460F29"/>
    <w:rsid w:val="00482248"/>
    <w:rsid w:val="00487378"/>
    <w:rsid w:val="004879EA"/>
    <w:rsid w:val="00487ED5"/>
    <w:rsid w:val="004A12F6"/>
    <w:rsid w:val="004A2238"/>
    <w:rsid w:val="004A392D"/>
    <w:rsid w:val="004B347D"/>
    <w:rsid w:val="004B4F1F"/>
    <w:rsid w:val="004B68E9"/>
    <w:rsid w:val="004B69F7"/>
    <w:rsid w:val="004E6398"/>
    <w:rsid w:val="004F1B03"/>
    <w:rsid w:val="004F20C3"/>
    <w:rsid w:val="004F33E7"/>
    <w:rsid w:val="0050145F"/>
    <w:rsid w:val="00523E5B"/>
    <w:rsid w:val="00525B30"/>
    <w:rsid w:val="00554131"/>
    <w:rsid w:val="00562A4E"/>
    <w:rsid w:val="0057735C"/>
    <w:rsid w:val="00587ABE"/>
    <w:rsid w:val="00593D1C"/>
    <w:rsid w:val="00596AA7"/>
    <w:rsid w:val="005A5E39"/>
    <w:rsid w:val="005A77A9"/>
    <w:rsid w:val="005A7F21"/>
    <w:rsid w:val="005B46C3"/>
    <w:rsid w:val="005B7298"/>
    <w:rsid w:val="005D423C"/>
    <w:rsid w:val="005E2B39"/>
    <w:rsid w:val="005E2E92"/>
    <w:rsid w:val="006009A5"/>
    <w:rsid w:val="0060350C"/>
    <w:rsid w:val="006136F4"/>
    <w:rsid w:val="00615D58"/>
    <w:rsid w:val="00616591"/>
    <w:rsid w:val="00624B02"/>
    <w:rsid w:val="006356CE"/>
    <w:rsid w:val="00654310"/>
    <w:rsid w:val="00657FCF"/>
    <w:rsid w:val="00666886"/>
    <w:rsid w:val="0067492A"/>
    <w:rsid w:val="0069132C"/>
    <w:rsid w:val="00695E04"/>
    <w:rsid w:val="006977B6"/>
    <w:rsid w:val="006A6203"/>
    <w:rsid w:val="006C7751"/>
    <w:rsid w:val="006D1805"/>
    <w:rsid w:val="006D28AA"/>
    <w:rsid w:val="006D5590"/>
    <w:rsid w:val="006D72AA"/>
    <w:rsid w:val="006E25EC"/>
    <w:rsid w:val="006E32B7"/>
    <w:rsid w:val="006F175B"/>
    <w:rsid w:val="006F317B"/>
    <w:rsid w:val="006F56D4"/>
    <w:rsid w:val="00716C04"/>
    <w:rsid w:val="00723667"/>
    <w:rsid w:val="00726084"/>
    <w:rsid w:val="00744B26"/>
    <w:rsid w:val="00752BC9"/>
    <w:rsid w:val="00767151"/>
    <w:rsid w:val="007707B1"/>
    <w:rsid w:val="007773EB"/>
    <w:rsid w:val="007808B2"/>
    <w:rsid w:val="007825FD"/>
    <w:rsid w:val="0078718D"/>
    <w:rsid w:val="007937FF"/>
    <w:rsid w:val="0079392D"/>
    <w:rsid w:val="00794C32"/>
    <w:rsid w:val="00795D92"/>
    <w:rsid w:val="007A22CA"/>
    <w:rsid w:val="007B12DB"/>
    <w:rsid w:val="007B37E6"/>
    <w:rsid w:val="007C5084"/>
    <w:rsid w:val="007D0360"/>
    <w:rsid w:val="007D1D4F"/>
    <w:rsid w:val="007D44B8"/>
    <w:rsid w:val="007D6DDD"/>
    <w:rsid w:val="00800F82"/>
    <w:rsid w:val="00816B58"/>
    <w:rsid w:val="008259D3"/>
    <w:rsid w:val="0083209E"/>
    <w:rsid w:val="0085071F"/>
    <w:rsid w:val="008903C2"/>
    <w:rsid w:val="00893367"/>
    <w:rsid w:val="008B0272"/>
    <w:rsid w:val="008B1E29"/>
    <w:rsid w:val="008C3C08"/>
    <w:rsid w:val="008E13BD"/>
    <w:rsid w:val="008F30D3"/>
    <w:rsid w:val="0091224F"/>
    <w:rsid w:val="0092416C"/>
    <w:rsid w:val="00932E74"/>
    <w:rsid w:val="009440D3"/>
    <w:rsid w:val="009471BD"/>
    <w:rsid w:val="00966DC3"/>
    <w:rsid w:val="00992392"/>
    <w:rsid w:val="009A2BDA"/>
    <w:rsid w:val="009A71B7"/>
    <w:rsid w:val="009B1D63"/>
    <w:rsid w:val="009B620B"/>
    <w:rsid w:val="009B65DE"/>
    <w:rsid w:val="009C08A4"/>
    <w:rsid w:val="009C3463"/>
    <w:rsid w:val="009C6DC6"/>
    <w:rsid w:val="009E06C2"/>
    <w:rsid w:val="009E5D6E"/>
    <w:rsid w:val="00A10621"/>
    <w:rsid w:val="00A16104"/>
    <w:rsid w:val="00A3388F"/>
    <w:rsid w:val="00A40787"/>
    <w:rsid w:val="00A44C27"/>
    <w:rsid w:val="00A4736E"/>
    <w:rsid w:val="00A51417"/>
    <w:rsid w:val="00A84A0A"/>
    <w:rsid w:val="00A963FC"/>
    <w:rsid w:val="00AA6D62"/>
    <w:rsid w:val="00AA6EF3"/>
    <w:rsid w:val="00AB68D9"/>
    <w:rsid w:val="00AC0855"/>
    <w:rsid w:val="00AC2E31"/>
    <w:rsid w:val="00AD296E"/>
    <w:rsid w:val="00AD6DD9"/>
    <w:rsid w:val="00AD71CE"/>
    <w:rsid w:val="00AE1BAF"/>
    <w:rsid w:val="00AE47B1"/>
    <w:rsid w:val="00AF4054"/>
    <w:rsid w:val="00AF4209"/>
    <w:rsid w:val="00B07ABB"/>
    <w:rsid w:val="00B24B82"/>
    <w:rsid w:val="00B34367"/>
    <w:rsid w:val="00B40797"/>
    <w:rsid w:val="00B452CF"/>
    <w:rsid w:val="00B4609C"/>
    <w:rsid w:val="00B64BA7"/>
    <w:rsid w:val="00B704C9"/>
    <w:rsid w:val="00B93223"/>
    <w:rsid w:val="00BA191F"/>
    <w:rsid w:val="00BC2803"/>
    <w:rsid w:val="00BF0C91"/>
    <w:rsid w:val="00C00334"/>
    <w:rsid w:val="00C029AC"/>
    <w:rsid w:val="00C0780B"/>
    <w:rsid w:val="00C07D93"/>
    <w:rsid w:val="00C11B70"/>
    <w:rsid w:val="00C20B8F"/>
    <w:rsid w:val="00C314F8"/>
    <w:rsid w:val="00C35AD3"/>
    <w:rsid w:val="00C41EA6"/>
    <w:rsid w:val="00C442F5"/>
    <w:rsid w:val="00C47372"/>
    <w:rsid w:val="00C53CC3"/>
    <w:rsid w:val="00C562B1"/>
    <w:rsid w:val="00C71940"/>
    <w:rsid w:val="00C759C2"/>
    <w:rsid w:val="00C7752A"/>
    <w:rsid w:val="00C81944"/>
    <w:rsid w:val="00C90961"/>
    <w:rsid w:val="00C93AB7"/>
    <w:rsid w:val="00C947F1"/>
    <w:rsid w:val="00C95E37"/>
    <w:rsid w:val="00CA0EF2"/>
    <w:rsid w:val="00CA1E99"/>
    <w:rsid w:val="00CB0B37"/>
    <w:rsid w:val="00CC034D"/>
    <w:rsid w:val="00CD3CFA"/>
    <w:rsid w:val="00CE16CB"/>
    <w:rsid w:val="00CE7088"/>
    <w:rsid w:val="00CF1378"/>
    <w:rsid w:val="00CF47B8"/>
    <w:rsid w:val="00D033F6"/>
    <w:rsid w:val="00D21797"/>
    <w:rsid w:val="00D40A3A"/>
    <w:rsid w:val="00D46656"/>
    <w:rsid w:val="00D50C0D"/>
    <w:rsid w:val="00D5465C"/>
    <w:rsid w:val="00D64D75"/>
    <w:rsid w:val="00D651C8"/>
    <w:rsid w:val="00D80903"/>
    <w:rsid w:val="00D83F89"/>
    <w:rsid w:val="00D851A4"/>
    <w:rsid w:val="00DA2B16"/>
    <w:rsid w:val="00DA65EA"/>
    <w:rsid w:val="00DB4F93"/>
    <w:rsid w:val="00DB6F6F"/>
    <w:rsid w:val="00DC1E0D"/>
    <w:rsid w:val="00DD3F56"/>
    <w:rsid w:val="00DD40FE"/>
    <w:rsid w:val="00DF39F8"/>
    <w:rsid w:val="00E062DF"/>
    <w:rsid w:val="00E15EE0"/>
    <w:rsid w:val="00E16EFC"/>
    <w:rsid w:val="00E25B54"/>
    <w:rsid w:val="00E274EB"/>
    <w:rsid w:val="00E47C62"/>
    <w:rsid w:val="00E566ED"/>
    <w:rsid w:val="00E57CB5"/>
    <w:rsid w:val="00E60193"/>
    <w:rsid w:val="00E61786"/>
    <w:rsid w:val="00E755F3"/>
    <w:rsid w:val="00E75F78"/>
    <w:rsid w:val="00E97AA8"/>
    <w:rsid w:val="00EA317B"/>
    <w:rsid w:val="00EA559E"/>
    <w:rsid w:val="00EA73C8"/>
    <w:rsid w:val="00EA79B1"/>
    <w:rsid w:val="00EC4699"/>
    <w:rsid w:val="00ED56AA"/>
    <w:rsid w:val="00ED79A2"/>
    <w:rsid w:val="00F1717F"/>
    <w:rsid w:val="00F17B57"/>
    <w:rsid w:val="00F33FFF"/>
    <w:rsid w:val="00F42CC9"/>
    <w:rsid w:val="00F446B8"/>
    <w:rsid w:val="00F52C69"/>
    <w:rsid w:val="00F61031"/>
    <w:rsid w:val="00F61F85"/>
    <w:rsid w:val="00F665A2"/>
    <w:rsid w:val="00F72078"/>
    <w:rsid w:val="00F85186"/>
    <w:rsid w:val="00FA62DB"/>
    <w:rsid w:val="00FB11EB"/>
    <w:rsid w:val="00FC1189"/>
    <w:rsid w:val="00FE363E"/>
    <w:rsid w:val="00FE5CDD"/>
    <w:rsid w:val="00FE62BC"/>
    <w:rsid w:val="00FE7914"/>
    <w:rsid w:val="13E7CEDC"/>
    <w:rsid w:val="1E827415"/>
    <w:rsid w:val="2B47CEC0"/>
    <w:rsid w:val="41A1AC5D"/>
    <w:rsid w:val="46409738"/>
    <w:rsid w:val="5307EB1C"/>
    <w:rsid w:val="5321AA7E"/>
    <w:rsid w:val="5D1CBD2E"/>
    <w:rsid w:val="5D3B5575"/>
    <w:rsid w:val="5D5524E1"/>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C41EA6"/>
    <w:rPr>
      <w:sz w:val="16"/>
      <w:szCs w:val="16"/>
    </w:rPr>
  </w:style>
  <w:style w:type="paragraph" w:styleId="CommentText">
    <w:name w:val="annotation text"/>
    <w:basedOn w:val="Normal"/>
    <w:link w:val="CommentTextChar"/>
    <w:uiPriority w:val="99"/>
    <w:semiHidden/>
    <w:unhideWhenUsed/>
    <w:rsid w:val="00C41EA6"/>
    <w:pPr>
      <w:spacing w:line="240" w:lineRule="auto"/>
    </w:pPr>
    <w:rPr>
      <w:sz w:val="20"/>
      <w:szCs w:val="20"/>
    </w:rPr>
  </w:style>
  <w:style w:type="character" w:customStyle="1" w:styleId="CommentTextChar">
    <w:name w:val="Comment Text Char"/>
    <w:basedOn w:val="DefaultParagraphFont"/>
    <w:link w:val="CommentText"/>
    <w:uiPriority w:val="99"/>
    <w:semiHidden/>
    <w:rsid w:val="00C41EA6"/>
    <w:rPr>
      <w:sz w:val="20"/>
      <w:szCs w:val="20"/>
    </w:rPr>
  </w:style>
  <w:style w:type="paragraph" w:styleId="CommentSubject">
    <w:name w:val="annotation subject"/>
    <w:basedOn w:val="CommentText"/>
    <w:next w:val="CommentText"/>
    <w:link w:val="CommentSubjectChar"/>
    <w:uiPriority w:val="99"/>
    <w:semiHidden/>
    <w:unhideWhenUsed/>
    <w:rsid w:val="00C41EA6"/>
    <w:rPr>
      <w:b/>
      <w:bCs/>
    </w:rPr>
  </w:style>
  <w:style w:type="character" w:customStyle="1" w:styleId="CommentSubjectChar">
    <w:name w:val="Comment Subject Char"/>
    <w:basedOn w:val="CommentTextChar"/>
    <w:link w:val="CommentSubject"/>
    <w:uiPriority w:val="99"/>
    <w:semiHidden/>
    <w:rsid w:val="00C41E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SharedWithUsers xmlns="caf84e0d-3cfc-4cba-975b-13912877db17">
      <UserInfo>
        <DisplayName>Grbinicek, Lisa (MNRF)</DisplayName>
        <AccountId>51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6" ma:contentTypeDescription="Create a new document." ma:contentTypeScope="" ma:versionID="03c30c1fbe9dca7d9141cee2d1ef6b97">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5825bed29f2e8c5bcd7bd8c4ffb7c74a"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2.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3.xml><?xml version="1.0" encoding="utf-8"?>
<ds:datastoreItem xmlns:ds="http://schemas.openxmlformats.org/officeDocument/2006/customXml" ds:itemID="{33B968A2-053A-4099-B3B9-BEAAEA7C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2805</Words>
  <Characters>15993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Olah, Jennifer (MNRF)</cp:lastModifiedBy>
  <cp:revision>5</cp:revision>
  <dcterms:created xsi:type="dcterms:W3CDTF">2022-10-12T12:54:00Z</dcterms:created>
  <dcterms:modified xsi:type="dcterms:W3CDTF">2022-10-13T14:05:00Z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