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27DF57" w14:textId="77777777" w:rsidR="00E90DD9" w:rsidRDefault="00E90DD9" w:rsidP="00F61F85">
      <w:pPr>
        <w:rPr>
          <w:rFonts w:cstheme="minorHAnsi"/>
          <w:lang w:val="en-US"/>
        </w:rPr>
      </w:pPr>
    </w:p>
    <w:p w14:paraId="3F430F9E" w14:textId="7EC776DC" w:rsidR="00997DD8" w:rsidRDefault="004E15BA" w:rsidP="00F61F85">
      <w:pPr>
        <w:rPr>
          <w:rFonts w:cstheme="minorHAnsi"/>
          <w:lang w:val="en-US"/>
        </w:rPr>
      </w:pPr>
      <w:r>
        <w:rPr>
          <w:rFonts w:cstheme="minorHAnsi"/>
          <w:lang w:val="en-US"/>
        </w:rPr>
        <w:t>November 1</w:t>
      </w:r>
      <w:r w:rsidR="00661E5D">
        <w:rPr>
          <w:rFonts w:cstheme="minorHAnsi"/>
          <w:lang w:val="en-US"/>
        </w:rPr>
        <w:t>7</w:t>
      </w:r>
      <w:r w:rsidR="007F7E74">
        <w:rPr>
          <w:rFonts w:cstheme="minorHAnsi"/>
          <w:lang w:val="en-US"/>
        </w:rPr>
        <w:t>, 2022</w:t>
      </w:r>
    </w:p>
    <w:p w14:paraId="2F32C8F0" w14:textId="378A3070" w:rsidR="00554131" w:rsidRPr="00415CB9" w:rsidRDefault="00554131" w:rsidP="0035152F">
      <w:pPr>
        <w:pStyle w:val="Heading1"/>
        <w:rPr>
          <w:sz w:val="28"/>
        </w:rPr>
      </w:pPr>
      <w:r w:rsidRPr="00415CB9">
        <w:rPr>
          <w:sz w:val="28"/>
        </w:rPr>
        <w:t xml:space="preserve">STAFF </w:t>
      </w:r>
      <w:r w:rsidR="00415CB9" w:rsidRPr="00415CB9">
        <w:rPr>
          <w:sz w:val="28"/>
        </w:rPr>
        <w:t xml:space="preserve">SUMMARY </w:t>
      </w:r>
      <w:r w:rsidRPr="00415CB9">
        <w:rPr>
          <w:sz w:val="28"/>
        </w:rPr>
        <w:t>REPORT</w:t>
      </w:r>
    </w:p>
    <w:p w14:paraId="38FA8F2A" w14:textId="77777777" w:rsidR="003A5BB2" w:rsidRDefault="003A5BB2" w:rsidP="003A5BB2">
      <w:pPr>
        <w:pStyle w:val="BodyText"/>
        <w:ind w:left="1152" w:hanging="1152"/>
        <w:rPr>
          <w:rFonts w:cs="Arial"/>
          <w:b/>
          <w:szCs w:val="24"/>
        </w:rPr>
      </w:pPr>
    </w:p>
    <w:p w14:paraId="4036C61E" w14:textId="77777777" w:rsidR="003A5BB2" w:rsidRDefault="003A5BB2" w:rsidP="003A5BB2">
      <w:pPr>
        <w:pStyle w:val="BodyText"/>
        <w:tabs>
          <w:tab w:val="clear" w:pos="1152"/>
          <w:tab w:val="left" w:pos="993"/>
        </w:tabs>
        <w:ind w:left="1152" w:hanging="1152"/>
        <w:rPr>
          <w:rFonts w:cs="Arial"/>
          <w:b/>
          <w:szCs w:val="24"/>
        </w:rPr>
      </w:pPr>
      <w:r w:rsidRPr="005A42FE">
        <w:rPr>
          <w:rFonts w:cs="Arial"/>
          <w:b/>
          <w:szCs w:val="24"/>
        </w:rPr>
        <w:t>RE:</w:t>
      </w:r>
      <w:r w:rsidRPr="005A42FE">
        <w:rPr>
          <w:rFonts w:cs="Arial"/>
          <w:b/>
          <w:szCs w:val="24"/>
        </w:rPr>
        <w:tab/>
        <w:t>PROPOSED Niagara Escarpment Plan Amendment</w:t>
      </w:r>
      <w:r>
        <w:rPr>
          <w:rFonts w:cs="Arial"/>
          <w:b/>
          <w:szCs w:val="24"/>
        </w:rPr>
        <w:t xml:space="preserve"> PH 221 21 </w:t>
      </w:r>
    </w:p>
    <w:p w14:paraId="105B3DAD" w14:textId="77777777" w:rsidR="003A5BB2" w:rsidRDefault="003A5BB2" w:rsidP="003A5BB2">
      <w:pPr>
        <w:pStyle w:val="BodyText"/>
        <w:tabs>
          <w:tab w:val="clear" w:pos="1152"/>
          <w:tab w:val="left" w:pos="993"/>
        </w:tabs>
        <w:ind w:left="1152" w:hanging="1152"/>
        <w:rPr>
          <w:rFonts w:cs="Arial"/>
          <w:b/>
          <w:szCs w:val="24"/>
        </w:rPr>
      </w:pPr>
      <w:r>
        <w:rPr>
          <w:rFonts w:cs="Arial"/>
          <w:b/>
          <w:szCs w:val="24"/>
        </w:rPr>
        <w:tab/>
        <w:t>4000 Campbellville Rd (former Campbellville Sand and Gravel South Pit)</w:t>
      </w:r>
    </w:p>
    <w:p w14:paraId="1759C1FC" w14:textId="77777777" w:rsidR="003A5BB2" w:rsidRDefault="003A5BB2" w:rsidP="003A5BB2">
      <w:pPr>
        <w:pStyle w:val="BodyText"/>
        <w:tabs>
          <w:tab w:val="clear" w:pos="1152"/>
          <w:tab w:val="left" w:pos="993"/>
        </w:tabs>
        <w:ind w:left="1152" w:hanging="1152"/>
        <w:rPr>
          <w:rFonts w:cs="Arial"/>
          <w:b/>
          <w:szCs w:val="24"/>
        </w:rPr>
      </w:pPr>
      <w:r>
        <w:rPr>
          <w:rFonts w:cs="Arial"/>
          <w:b/>
          <w:szCs w:val="24"/>
        </w:rPr>
        <w:tab/>
        <w:t xml:space="preserve">Part Lot 5 Concession 5 (Nassagaweya) </w:t>
      </w:r>
    </w:p>
    <w:p w14:paraId="6973937F" w14:textId="77777777" w:rsidR="003A5BB2" w:rsidRPr="005A42FE" w:rsidRDefault="003A5BB2" w:rsidP="003A5BB2">
      <w:pPr>
        <w:pStyle w:val="BodyText"/>
        <w:tabs>
          <w:tab w:val="clear" w:pos="1152"/>
          <w:tab w:val="left" w:pos="993"/>
        </w:tabs>
        <w:ind w:left="1152" w:hanging="1152"/>
        <w:rPr>
          <w:rFonts w:cs="Arial"/>
          <w:b/>
          <w:szCs w:val="24"/>
        </w:rPr>
      </w:pPr>
      <w:r>
        <w:rPr>
          <w:rFonts w:cs="Arial"/>
          <w:b/>
          <w:szCs w:val="24"/>
        </w:rPr>
        <w:tab/>
        <w:t>Town of Milton, Region of Halton</w:t>
      </w:r>
    </w:p>
    <w:p w14:paraId="11EE5CC3" w14:textId="77777777" w:rsidR="003A5BB2" w:rsidRPr="005A42FE" w:rsidRDefault="003A5BB2" w:rsidP="003A5BB2">
      <w:pPr>
        <w:pStyle w:val="BodyText"/>
        <w:jc w:val="center"/>
        <w:rPr>
          <w:rFonts w:cs="Arial"/>
          <w:b/>
          <w:sz w:val="23"/>
          <w:szCs w:val="23"/>
        </w:rPr>
      </w:pPr>
      <w:r w:rsidRPr="005A42FE">
        <w:rPr>
          <w:rFonts w:cs="Arial"/>
          <w:b/>
          <w:noProof/>
          <w:snapToGrid/>
          <w:sz w:val="23"/>
          <w:szCs w:val="23"/>
          <w:lang w:eastAsia="en-CA"/>
        </w:rPr>
        <mc:AlternateContent>
          <mc:Choice Requires="wps">
            <w:drawing>
              <wp:anchor distT="0" distB="0" distL="114300" distR="114300" simplePos="0" relativeHeight="251659264" behindDoc="0" locked="0" layoutInCell="1" allowOverlap="1" wp14:anchorId="00694E5B" wp14:editId="62EF9E4C">
                <wp:simplePos x="0" y="0"/>
                <wp:positionH relativeFrom="column">
                  <wp:posOffset>114300</wp:posOffset>
                </wp:positionH>
                <wp:positionV relativeFrom="paragraph">
                  <wp:posOffset>95250</wp:posOffset>
                </wp:positionV>
                <wp:extent cx="6286500" cy="0"/>
                <wp:effectExtent l="9525" t="10795" r="9525" b="8255"/>
                <wp:wrapNone/>
                <wp:docPr id="4" name="Straight Connector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42FBD0" id="Straight Connector 4" o:spid="_x0000_s1026" alt="&quot;&quot;"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5pt" to="7in,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"/>
            </w:pict>
          </mc:Fallback>
        </mc:AlternateContent>
      </w:r>
    </w:p>
    <w:p w14:paraId="6299E93E" w14:textId="77777777" w:rsidR="003A5BB2" w:rsidRPr="00554131" w:rsidRDefault="003A5BB2" w:rsidP="00554131">
      <w:pPr>
        <w:spacing w:after="0" w:line="240" w:lineRule="auto"/>
        <w:rPr>
          <w:rFonts w:ascii="Arial" w:eastAsia="Times New Roman" w:hAnsi="Arial" w:cs="Arial"/>
          <w:b/>
          <w:szCs w:val="24"/>
        </w:rPr>
      </w:pPr>
    </w:p>
    <w:p w14:paraId="4A79D743" w14:textId="0C376B88" w:rsidR="003A5BB2" w:rsidRPr="003A5BB2" w:rsidRDefault="003A5BB2" w:rsidP="003A5BB2">
      <w:pPr>
        <w:widowControl w:val="0"/>
        <w:tabs>
          <w:tab w:val="left" w:pos="-1368"/>
          <w:tab w:val="left" w:pos="-720"/>
          <w:tab w:val="left" w:pos="1152"/>
          <w:tab w:val="left" w:pos="2700"/>
        </w:tabs>
        <w:spacing w:after="0" w:line="240" w:lineRule="auto"/>
        <w:ind w:left="2160" w:hanging="2160"/>
        <w:rPr>
          <w:rFonts w:ascii="Arial" w:eastAsia="Times New Roman" w:hAnsi="Arial" w:cs="Arial"/>
          <w:snapToGrid w:val="0"/>
          <w:szCs w:val="24"/>
        </w:rPr>
      </w:pPr>
      <w:bookmarkStart w:id="0" w:name="_Hlk70081498"/>
      <w:r w:rsidRPr="003A5BB2">
        <w:rPr>
          <w:rFonts w:ascii="Arial" w:eastAsia="Times New Roman" w:hAnsi="Arial" w:cs="Arial"/>
          <w:b/>
          <w:snapToGrid w:val="0"/>
          <w:szCs w:val="24"/>
        </w:rPr>
        <w:t>A</w:t>
      </w:r>
      <w:r w:rsidR="00661E5D">
        <w:rPr>
          <w:rFonts w:ascii="Arial" w:eastAsia="Times New Roman" w:hAnsi="Arial" w:cs="Arial"/>
          <w:b/>
          <w:snapToGrid w:val="0"/>
          <w:szCs w:val="24"/>
        </w:rPr>
        <w:t>pplicant</w:t>
      </w:r>
      <w:r w:rsidRPr="003A5BB2">
        <w:rPr>
          <w:rFonts w:ascii="Arial" w:eastAsia="Times New Roman" w:hAnsi="Arial" w:cs="Arial"/>
          <w:b/>
          <w:snapToGrid w:val="0"/>
          <w:szCs w:val="24"/>
        </w:rPr>
        <w:t xml:space="preserve">: </w:t>
      </w:r>
      <w:r>
        <w:rPr>
          <w:rFonts w:ascii="Arial" w:eastAsia="Times New Roman" w:hAnsi="Arial" w:cs="Arial"/>
          <w:b/>
          <w:snapToGrid w:val="0"/>
          <w:szCs w:val="24"/>
        </w:rPr>
        <w:tab/>
      </w:r>
      <w:r>
        <w:rPr>
          <w:rFonts w:cs="Arial"/>
          <w:bCs/>
          <w:szCs w:val="24"/>
        </w:rPr>
        <w:t>4000 Campbellville Rd Inc.</w:t>
      </w:r>
      <w:r w:rsidRPr="003D449D">
        <w:rPr>
          <w:rFonts w:cs="Arial"/>
          <w:bCs/>
          <w:szCs w:val="24"/>
        </w:rPr>
        <w:t xml:space="preserve"> (c/o Herbert Arnold</w:t>
      </w:r>
      <w:r>
        <w:rPr>
          <w:rFonts w:cs="Arial"/>
          <w:bCs/>
          <w:szCs w:val="24"/>
        </w:rPr>
        <w:t>, Foster, Arnold, LLP</w:t>
      </w:r>
      <w:r w:rsidRPr="003D449D">
        <w:rPr>
          <w:rFonts w:cs="Arial"/>
          <w:bCs/>
          <w:szCs w:val="24"/>
        </w:rPr>
        <w:t>)</w:t>
      </w:r>
    </w:p>
    <w:p w14:paraId="2F78FE12" w14:textId="77777777" w:rsidR="003A5BB2" w:rsidRDefault="003A5BB2" w:rsidP="003A5BB2">
      <w:pPr>
        <w:widowControl w:val="0"/>
        <w:tabs>
          <w:tab w:val="left" w:pos="-1368"/>
          <w:tab w:val="left" w:pos="-720"/>
          <w:tab w:val="left" w:pos="1152"/>
          <w:tab w:val="left" w:pos="2160"/>
          <w:tab w:val="left" w:pos="3060"/>
        </w:tabs>
        <w:spacing w:after="0" w:line="240" w:lineRule="auto"/>
        <w:rPr>
          <w:rFonts w:ascii="Arial" w:eastAsia="Times New Roman" w:hAnsi="Arial" w:cs="Arial"/>
          <w:b/>
          <w:snapToGrid w:val="0"/>
          <w:szCs w:val="24"/>
        </w:rPr>
      </w:pPr>
    </w:p>
    <w:p w14:paraId="3D3106F0" w14:textId="0B4069B5" w:rsidR="003A5BB2" w:rsidRPr="003A5BB2" w:rsidRDefault="00661E5D" w:rsidP="003A5BB2">
      <w:pPr>
        <w:widowControl w:val="0"/>
        <w:tabs>
          <w:tab w:val="left" w:pos="-1368"/>
          <w:tab w:val="left" w:pos="-720"/>
          <w:tab w:val="left" w:pos="1152"/>
          <w:tab w:val="left" w:pos="2160"/>
          <w:tab w:val="left" w:pos="3060"/>
        </w:tabs>
        <w:spacing w:after="0" w:line="240" w:lineRule="auto"/>
        <w:rPr>
          <w:rFonts w:ascii="Arial" w:eastAsia="Times New Roman" w:hAnsi="Arial" w:cs="Arial"/>
          <w:snapToGrid w:val="0"/>
          <w:szCs w:val="24"/>
        </w:rPr>
      </w:pPr>
      <w:r>
        <w:rPr>
          <w:rFonts w:ascii="Arial" w:eastAsia="Times New Roman" w:hAnsi="Arial" w:cs="Arial"/>
          <w:b/>
          <w:snapToGrid w:val="0"/>
          <w:szCs w:val="24"/>
        </w:rPr>
        <w:t>Owner</w:t>
      </w:r>
      <w:r w:rsidR="003A5BB2" w:rsidRPr="003A5BB2">
        <w:rPr>
          <w:rFonts w:ascii="Arial" w:eastAsia="Times New Roman" w:hAnsi="Arial" w:cs="Arial"/>
          <w:b/>
          <w:snapToGrid w:val="0"/>
          <w:szCs w:val="24"/>
        </w:rPr>
        <w:t xml:space="preserve">: </w:t>
      </w:r>
      <w:r w:rsidR="003A5BB2">
        <w:rPr>
          <w:rFonts w:ascii="Arial" w:eastAsia="Times New Roman" w:hAnsi="Arial" w:cs="Arial"/>
          <w:b/>
          <w:snapToGrid w:val="0"/>
          <w:szCs w:val="24"/>
        </w:rPr>
        <w:tab/>
      </w:r>
      <w:r w:rsidR="003A5BB2">
        <w:rPr>
          <w:rFonts w:ascii="Arial" w:eastAsia="Times New Roman" w:hAnsi="Arial" w:cs="Arial"/>
          <w:b/>
          <w:snapToGrid w:val="0"/>
          <w:szCs w:val="24"/>
        </w:rPr>
        <w:tab/>
      </w:r>
      <w:r w:rsidR="003A5BB2">
        <w:rPr>
          <w:rFonts w:cs="Arial"/>
          <w:bCs/>
          <w:szCs w:val="24"/>
        </w:rPr>
        <w:t>2647857 Ontario Inc (new owner March 2021)</w:t>
      </w:r>
    </w:p>
    <w:p w14:paraId="23773C04" w14:textId="77777777" w:rsidR="003A5BB2" w:rsidRDefault="003A5BB2" w:rsidP="003A5BB2">
      <w:pPr>
        <w:widowControl w:val="0"/>
        <w:tabs>
          <w:tab w:val="left" w:pos="-1368"/>
          <w:tab w:val="left" w:pos="-720"/>
          <w:tab w:val="left" w:pos="1152"/>
          <w:tab w:val="left" w:pos="2160"/>
          <w:tab w:val="left" w:pos="3060"/>
        </w:tabs>
        <w:spacing w:after="0" w:line="240" w:lineRule="auto"/>
        <w:rPr>
          <w:rFonts w:ascii="Arial" w:eastAsia="Times New Roman" w:hAnsi="Arial" w:cs="Arial"/>
          <w:b/>
          <w:snapToGrid w:val="0"/>
          <w:szCs w:val="24"/>
        </w:rPr>
      </w:pPr>
    </w:p>
    <w:p w14:paraId="0F11534A" w14:textId="4A9A807A" w:rsidR="003A5BB2" w:rsidRDefault="003A5BB2" w:rsidP="003A5BB2">
      <w:pPr>
        <w:widowControl w:val="0"/>
        <w:tabs>
          <w:tab w:val="left" w:pos="-1368"/>
          <w:tab w:val="left" w:pos="-720"/>
          <w:tab w:val="left" w:pos="1152"/>
          <w:tab w:val="left" w:pos="2160"/>
          <w:tab w:val="left" w:pos="3060"/>
        </w:tabs>
        <w:spacing w:after="0" w:line="240" w:lineRule="auto"/>
        <w:rPr>
          <w:rFonts w:ascii="Arial" w:eastAsia="Times New Roman" w:hAnsi="Arial" w:cs="Arial"/>
          <w:b/>
          <w:snapToGrid w:val="0"/>
          <w:szCs w:val="24"/>
        </w:rPr>
      </w:pPr>
      <w:r>
        <w:rPr>
          <w:rFonts w:ascii="Arial" w:eastAsia="Times New Roman" w:hAnsi="Arial" w:cs="Arial"/>
          <w:b/>
          <w:snapToGrid w:val="0"/>
          <w:szCs w:val="24"/>
        </w:rPr>
        <w:t>A</w:t>
      </w:r>
      <w:r w:rsidR="00661E5D">
        <w:rPr>
          <w:rFonts w:ascii="Arial" w:eastAsia="Times New Roman" w:hAnsi="Arial" w:cs="Arial"/>
          <w:b/>
          <w:snapToGrid w:val="0"/>
          <w:szCs w:val="24"/>
        </w:rPr>
        <w:t>gent</w:t>
      </w:r>
      <w:r>
        <w:rPr>
          <w:rFonts w:ascii="Arial" w:eastAsia="Times New Roman" w:hAnsi="Arial" w:cs="Arial"/>
          <w:b/>
          <w:snapToGrid w:val="0"/>
          <w:szCs w:val="24"/>
        </w:rPr>
        <w:t xml:space="preserve">: </w:t>
      </w:r>
      <w:r>
        <w:rPr>
          <w:rFonts w:ascii="Arial" w:eastAsia="Times New Roman" w:hAnsi="Arial" w:cs="Arial"/>
          <w:b/>
          <w:snapToGrid w:val="0"/>
          <w:szCs w:val="24"/>
        </w:rPr>
        <w:tab/>
      </w:r>
      <w:r>
        <w:rPr>
          <w:rFonts w:ascii="Arial" w:eastAsia="Times New Roman" w:hAnsi="Arial" w:cs="Arial"/>
          <w:b/>
          <w:snapToGrid w:val="0"/>
          <w:szCs w:val="24"/>
        </w:rPr>
        <w:tab/>
      </w:r>
      <w:r w:rsidRPr="003A5BB2">
        <w:rPr>
          <w:rFonts w:ascii="Arial" w:eastAsia="Times New Roman" w:hAnsi="Arial" w:cs="Arial"/>
          <w:snapToGrid w:val="0"/>
          <w:szCs w:val="24"/>
        </w:rPr>
        <w:t>MHBC Planning</w:t>
      </w:r>
      <w:r>
        <w:rPr>
          <w:rFonts w:ascii="Arial" w:eastAsia="Times New Roman" w:hAnsi="Arial" w:cs="Arial"/>
          <w:snapToGrid w:val="0"/>
          <w:szCs w:val="24"/>
        </w:rPr>
        <w:t xml:space="preserve">, Ltd. </w:t>
      </w:r>
    </w:p>
    <w:p w14:paraId="1CE3FD15" w14:textId="30462BF6" w:rsidR="003A5BB2" w:rsidRPr="003A5BB2" w:rsidRDefault="003A5BB2" w:rsidP="003A5BB2">
      <w:pPr>
        <w:widowControl w:val="0"/>
        <w:tabs>
          <w:tab w:val="left" w:pos="-1368"/>
          <w:tab w:val="left" w:pos="-720"/>
          <w:tab w:val="left" w:pos="1152"/>
          <w:tab w:val="left" w:pos="2160"/>
          <w:tab w:val="left" w:pos="3060"/>
        </w:tabs>
        <w:spacing w:after="0" w:line="240" w:lineRule="auto"/>
        <w:rPr>
          <w:rFonts w:ascii="Arial" w:eastAsia="Times New Roman" w:hAnsi="Arial" w:cs="Arial"/>
          <w:b/>
          <w:snapToGrid w:val="0"/>
          <w:szCs w:val="24"/>
        </w:rPr>
      </w:pPr>
      <w:r w:rsidRPr="003A5BB2">
        <w:rPr>
          <w:rFonts w:ascii="Arial" w:eastAsia="Times New Roman" w:hAnsi="Arial" w:cs="Arial"/>
          <w:b/>
          <w:snapToGrid w:val="0"/>
          <w:szCs w:val="24"/>
        </w:rPr>
        <w:t xml:space="preserve"> </w:t>
      </w:r>
      <w:r w:rsidRPr="003A5BB2">
        <w:rPr>
          <w:rFonts w:ascii="Arial" w:eastAsia="Times New Roman" w:hAnsi="Arial" w:cs="Arial"/>
          <w:b/>
          <w:snapToGrid w:val="0"/>
          <w:szCs w:val="24"/>
        </w:rPr>
        <w:tab/>
      </w:r>
      <w:r w:rsidRPr="003A5BB2">
        <w:rPr>
          <w:rFonts w:ascii="Arial" w:eastAsia="Times New Roman" w:hAnsi="Arial" w:cs="Arial"/>
          <w:b/>
          <w:snapToGrid w:val="0"/>
          <w:szCs w:val="24"/>
        </w:rPr>
        <w:tab/>
      </w:r>
    </w:p>
    <w:p w14:paraId="7170C493" w14:textId="0AC8387A" w:rsidR="003A5BB2" w:rsidRPr="003A5BB2" w:rsidRDefault="001D7C99" w:rsidP="003A5BB2">
      <w:pPr>
        <w:widowControl w:val="0"/>
        <w:tabs>
          <w:tab w:val="left" w:pos="-1368"/>
          <w:tab w:val="left" w:pos="-720"/>
          <w:tab w:val="left" w:pos="1152"/>
          <w:tab w:val="left" w:pos="2160"/>
          <w:tab w:val="left" w:pos="3060"/>
        </w:tabs>
        <w:spacing w:after="0" w:line="240" w:lineRule="auto"/>
        <w:rPr>
          <w:rFonts w:ascii="Arial" w:eastAsia="Times New Roman" w:hAnsi="Arial" w:cs="Arial"/>
          <w:snapToGrid w:val="0"/>
          <w:szCs w:val="24"/>
        </w:rPr>
      </w:pPr>
      <w:r w:rsidRPr="003A5BB2">
        <w:rPr>
          <w:rFonts w:ascii="Arial" w:eastAsia="Times New Roman" w:hAnsi="Arial" w:cs="Arial"/>
          <w:b/>
          <w:snapToGrid w:val="0"/>
          <w:szCs w:val="24"/>
        </w:rPr>
        <w:t>R</w:t>
      </w:r>
      <w:r>
        <w:rPr>
          <w:rFonts w:ascii="Arial" w:eastAsia="Times New Roman" w:hAnsi="Arial" w:cs="Arial"/>
          <w:b/>
          <w:snapToGrid w:val="0"/>
          <w:szCs w:val="24"/>
        </w:rPr>
        <w:t>eceived</w:t>
      </w:r>
      <w:r w:rsidR="003A5BB2" w:rsidRPr="003A5BB2">
        <w:rPr>
          <w:rFonts w:ascii="Arial" w:eastAsia="Times New Roman" w:hAnsi="Arial" w:cs="Arial"/>
          <w:b/>
          <w:snapToGrid w:val="0"/>
          <w:szCs w:val="24"/>
        </w:rPr>
        <w:t>:</w:t>
      </w:r>
      <w:r w:rsidR="003A5BB2" w:rsidRPr="003A5BB2">
        <w:rPr>
          <w:rFonts w:ascii="Arial" w:eastAsia="Times New Roman" w:hAnsi="Arial" w:cs="Arial"/>
          <w:snapToGrid w:val="0"/>
          <w:szCs w:val="24"/>
        </w:rPr>
        <w:t xml:space="preserve">  </w:t>
      </w:r>
      <w:r w:rsidR="003A5BB2">
        <w:rPr>
          <w:rFonts w:ascii="Arial" w:eastAsia="Times New Roman" w:hAnsi="Arial" w:cs="Arial"/>
          <w:snapToGrid w:val="0"/>
          <w:szCs w:val="24"/>
        </w:rPr>
        <w:tab/>
      </w:r>
      <w:r w:rsidR="003A5BB2" w:rsidRPr="003A5BB2">
        <w:rPr>
          <w:rFonts w:ascii="Arial" w:eastAsia="Times New Roman" w:hAnsi="Arial" w:cs="Arial"/>
          <w:snapToGrid w:val="0"/>
          <w:szCs w:val="24"/>
        </w:rPr>
        <w:t xml:space="preserve">March </w:t>
      </w:r>
      <w:r w:rsidR="003A5BB2">
        <w:rPr>
          <w:rFonts w:ascii="Arial" w:eastAsia="Times New Roman" w:hAnsi="Arial" w:cs="Arial"/>
          <w:snapToGrid w:val="0"/>
          <w:szCs w:val="24"/>
        </w:rPr>
        <w:t>29</w:t>
      </w:r>
      <w:r w:rsidR="003A5BB2" w:rsidRPr="003A5BB2">
        <w:rPr>
          <w:rFonts w:ascii="Arial" w:eastAsia="Times New Roman" w:hAnsi="Arial" w:cs="Arial"/>
          <w:snapToGrid w:val="0"/>
          <w:szCs w:val="24"/>
        </w:rPr>
        <w:t>, 20</w:t>
      </w:r>
      <w:r w:rsidR="003A5BB2">
        <w:rPr>
          <w:rFonts w:ascii="Arial" w:eastAsia="Times New Roman" w:hAnsi="Arial" w:cs="Arial"/>
          <w:snapToGrid w:val="0"/>
          <w:szCs w:val="24"/>
        </w:rPr>
        <w:t>2</w:t>
      </w:r>
      <w:r w:rsidR="003A5BB2" w:rsidRPr="003A5BB2">
        <w:rPr>
          <w:rFonts w:ascii="Arial" w:eastAsia="Times New Roman" w:hAnsi="Arial" w:cs="Arial"/>
          <w:snapToGrid w:val="0"/>
          <w:szCs w:val="24"/>
        </w:rPr>
        <w:t>1</w:t>
      </w:r>
    </w:p>
    <w:p w14:paraId="0E323337" w14:textId="77777777" w:rsidR="003A5BB2" w:rsidRPr="003A5BB2" w:rsidRDefault="003A5BB2" w:rsidP="003A5BB2">
      <w:pPr>
        <w:widowControl w:val="0"/>
        <w:tabs>
          <w:tab w:val="left" w:pos="-1368"/>
          <w:tab w:val="left" w:pos="-720"/>
          <w:tab w:val="left" w:pos="1152"/>
          <w:tab w:val="left" w:pos="2160"/>
          <w:tab w:val="left" w:pos="3060"/>
        </w:tabs>
        <w:spacing w:after="0" w:line="240" w:lineRule="auto"/>
        <w:rPr>
          <w:rFonts w:ascii="Arial" w:eastAsia="Times New Roman" w:hAnsi="Arial" w:cs="Arial"/>
          <w:snapToGrid w:val="0"/>
          <w:szCs w:val="24"/>
        </w:rPr>
      </w:pPr>
      <w:r w:rsidRPr="003A5BB2">
        <w:rPr>
          <w:rFonts w:ascii="Arial" w:eastAsia="Times New Roman" w:hAnsi="Arial" w:cs="Arial"/>
          <w:snapToGrid w:val="0"/>
          <w:szCs w:val="24"/>
        </w:rPr>
        <w:tab/>
      </w:r>
      <w:r w:rsidRPr="003A5BB2">
        <w:rPr>
          <w:rFonts w:ascii="Arial" w:eastAsia="Times New Roman" w:hAnsi="Arial" w:cs="Arial"/>
          <w:snapToGrid w:val="0"/>
          <w:szCs w:val="24"/>
        </w:rPr>
        <w:tab/>
      </w:r>
    </w:p>
    <w:p w14:paraId="522054B0" w14:textId="77E303B1" w:rsidR="003A5BB2" w:rsidRPr="003A5BB2" w:rsidRDefault="003A5BB2" w:rsidP="003A5BB2">
      <w:pPr>
        <w:widowControl w:val="0"/>
        <w:tabs>
          <w:tab w:val="left" w:pos="-1368"/>
          <w:tab w:val="left" w:pos="-720"/>
          <w:tab w:val="left" w:pos="1152"/>
          <w:tab w:val="left" w:pos="1980"/>
          <w:tab w:val="left" w:pos="3060"/>
        </w:tabs>
        <w:spacing w:after="0" w:line="240" w:lineRule="auto"/>
        <w:rPr>
          <w:rFonts w:ascii="Arial" w:eastAsia="Times New Roman" w:hAnsi="Arial" w:cs="Arial"/>
          <w:snapToGrid w:val="0"/>
          <w:szCs w:val="24"/>
        </w:rPr>
      </w:pPr>
      <w:r w:rsidRPr="003A5BB2">
        <w:rPr>
          <w:rFonts w:ascii="Arial" w:eastAsia="Times New Roman" w:hAnsi="Arial" w:cs="Arial"/>
          <w:b/>
          <w:snapToGrid w:val="0"/>
          <w:szCs w:val="24"/>
        </w:rPr>
        <w:t>NEP Designatio</w:t>
      </w:r>
      <w:r>
        <w:rPr>
          <w:rFonts w:ascii="Arial" w:eastAsia="Times New Roman" w:hAnsi="Arial" w:cs="Arial"/>
          <w:b/>
          <w:snapToGrid w:val="0"/>
          <w:szCs w:val="24"/>
        </w:rPr>
        <w:t>n</w:t>
      </w:r>
      <w:r w:rsidR="000C67C4">
        <w:rPr>
          <w:rFonts w:ascii="Arial" w:eastAsia="Times New Roman" w:hAnsi="Arial" w:cs="Arial"/>
          <w:b/>
          <w:snapToGrid w:val="0"/>
          <w:szCs w:val="24"/>
        </w:rPr>
        <w:t xml:space="preserve"> (current)</w:t>
      </w:r>
      <w:r w:rsidRPr="003A5BB2">
        <w:rPr>
          <w:rFonts w:ascii="Arial" w:eastAsia="Times New Roman" w:hAnsi="Arial" w:cs="Arial"/>
          <w:b/>
          <w:snapToGrid w:val="0"/>
          <w:szCs w:val="24"/>
        </w:rPr>
        <w:t xml:space="preserve">: </w:t>
      </w:r>
      <w:r>
        <w:rPr>
          <w:rFonts w:ascii="Arial" w:eastAsia="Times New Roman" w:hAnsi="Arial" w:cs="Arial"/>
          <w:snapToGrid w:val="0"/>
          <w:szCs w:val="24"/>
        </w:rPr>
        <w:t xml:space="preserve">Mineral Resource Extraction </w:t>
      </w:r>
      <w:r w:rsidRPr="003A5BB2">
        <w:rPr>
          <w:rFonts w:ascii="Arial" w:eastAsia="Times New Roman" w:hAnsi="Arial" w:cs="Arial"/>
          <w:snapToGrid w:val="0"/>
          <w:szCs w:val="24"/>
        </w:rPr>
        <w:t>Area</w:t>
      </w:r>
      <w:r w:rsidRPr="003A5BB2">
        <w:rPr>
          <w:rFonts w:ascii="Arial" w:eastAsia="Times New Roman" w:hAnsi="Arial" w:cs="Arial"/>
          <w:snapToGrid w:val="0"/>
          <w:szCs w:val="24"/>
        </w:rPr>
        <w:tab/>
      </w:r>
    </w:p>
    <w:p w14:paraId="3D5DD0CF" w14:textId="77777777" w:rsidR="003A5BB2" w:rsidRPr="003A5BB2" w:rsidRDefault="003A5BB2" w:rsidP="003A5BB2">
      <w:pPr>
        <w:widowControl w:val="0"/>
        <w:tabs>
          <w:tab w:val="left" w:pos="-1368"/>
          <w:tab w:val="left" w:pos="-720"/>
          <w:tab w:val="left" w:pos="1152"/>
          <w:tab w:val="left" w:pos="1980"/>
          <w:tab w:val="left" w:pos="2700"/>
        </w:tabs>
        <w:spacing w:after="0" w:line="240" w:lineRule="auto"/>
        <w:ind w:left="1980" w:hanging="1980"/>
        <w:rPr>
          <w:rFonts w:ascii="Arial" w:eastAsia="Times New Roman" w:hAnsi="Arial" w:cs="Arial"/>
          <w:b/>
          <w:snapToGrid w:val="0"/>
          <w:szCs w:val="24"/>
        </w:rPr>
      </w:pPr>
    </w:p>
    <w:p w14:paraId="53206C1D" w14:textId="77777777" w:rsidR="003A5BB2" w:rsidRPr="003A5BB2" w:rsidRDefault="003A5BB2" w:rsidP="003A5BB2">
      <w:pPr>
        <w:widowControl w:val="0"/>
        <w:tabs>
          <w:tab w:val="left" w:pos="-1368"/>
          <w:tab w:val="left" w:pos="-720"/>
          <w:tab w:val="left" w:pos="0"/>
          <w:tab w:val="left" w:pos="1152"/>
          <w:tab w:val="left" w:pos="2700"/>
        </w:tabs>
        <w:spacing w:after="0" w:line="240" w:lineRule="auto"/>
        <w:rPr>
          <w:rFonts w:ascii="Arial" w:eastAsia="Times New Roman" w:hAnsi="Arial" w:cs="Arial"/>
          <w:snapToGrid w:val="0"/>
          <w:szCs w:val="24"/>
        </w:rPr>
      </w:pPr>
      <w:r w:rsidRPr="003A5BB2">
        <w:rPr>
          <w:rFonts w:ascii="Arial" w:eastAsia="Times New Roman" w:hAnsi="Arial" w:cs="Arial"/>
          <w:b/>
          <w:snapToGrid w:val="0"/>
          <w:szCs w:val="24"/>
        </w:rPr>
        <w:t>PROPOSAL SUMMARY:</w:t>
      </w:r>
      <w:r w:rsidRPr="003A5BB2">
        <w:rPr>
          <w:rFonts w:ascii="Arial" w:eastAsia="Times New Roman" w:hAnsi="Arial" w:cs="Arial"/>
          <w:snapToGrid w:val="0"/>
          <w:szCs w:val="24"/>
        </w:rPr>
        <w:t xml:space="preserve"> </w:t>
      </w:r>
    </w:p>
    <w:p w14:paraId="1DE0895A" w14:textId="77777777" w:rsidR="003A5BB2" w:rsidRPr="003A5BB2" w:rsidRDefault="003A5BB2" w:rsidP="003A5BB2">
      <w:pPr>
        <w:widowControl w:val="0"/>
        <w:tabs>
          <w:tab w:val="left" w:pos="-1368"/>
          <w:tab w:val="left" w:pos="-720"/>
          <w:tab w:val="left" w:pos="0"/>
          <w:tab w:val="left" w:pos="1152"/>
          <w:tab w:val="left" w:pos="2700"/>
        </w:tabs>
        <w:spacing w:after="0" w:line="240" w:lineRule="auto"/>
        <w:rPr>
          <w:rFonts w:ascii="Arial" w:eastAsia="Times New Roman" w:hAnsi="Arial" w:cs="Arial"/>
          <w:snapToGrid w:val="0"/>
          <w:szCs w:val="24"/>
        </w:rPr>
      </w:pPr>
    </w:p>
    <w:p w14:paraId="5125B8EC" w14:textId="1C7FE1A6" w:rsidR="003A5BB2" w:rsidRPr="006373EE" w:rsidRDefault="003A5BB2" w:rsidP="003A5BB2">
      <w:pPr>
        <w:pStyle w:val="BodyText"/>
        <w:tabs>
          <w:tab w:val="left" w:pos="0"/>
        </w:tabs>
        <w:spacing w:line="276" w:lineRule="auto"/>
        <w:rPr>
          <w:rFonts w:cs="Arial"/>
          <w:szCs w:val="24"/>
        </w:rPr>
      </w:pPr>
      <w:bookmarkStart w:id="1" w:name="_Hlk65653886"/>
      <w:r w:rsidRPr="005815D2">
        <w:rPr>
          <w:rFonts w:cs="Arial"/>
          <w:szCs w:val="24"/>
        </w:rPr>
        <w:t xml:space="preserve">To undertake an </w:t>
      </w:r>
      <w:r>
        <w:rPr>
          <w:rFonts w:cs="Arial"/>
          <w:szCs w:val="24"/>
        </w:rPr>
        <w:t>a</w:t>
      </w:r>
      <w:r w:rsidRPr="005815D2">
        <w:rPr>
          <w:rFonts w:cs="Arial"/>
          <w:szCs w:val="24"/>
        </w:rPr>
        <w:t xml:space="preserve">mendment </w:t>
      </w:r>
      <w:r>
        <w:rPr>
          <w:rFonts w:cs="Arial"/>
          <w:szCs w:val="24"/>
        </w:rPr>
        <w:t xml:space="preserve">to </w:t>
      </w:r>
      <w:r w:rsidRPr="005815D2">
        <w:rPr>
          <w:rFonts w:cs="Arial"/>
          <w:szCs w:val="24"/>
        </w:rPr>
        <w:t xml:space="preserve">the Niagara Escarpment Plan (NEP) to allow for a </w:t>
      </w:r>
      <w:r w:rsidR="004E15BA" w:rsidRPr="005815D2">
        <w:rPr>
          <w:rFonts w:cs="Arial"/>
          <w:szCs w:val="24"/>
        </w:rPr>
        <w:t>site-specific</w:t>
      </w:r>
      <w:r w:rsidRPr="005815D2">
        <w:rPr>
          <w:rFonts w:cs="Arial"/>
          <w:szCs w:val="24"/>
        </w:rPr>
        <w:t xml:space="preserve"> change </w:t>
      </w:r>
      <w:r>
        <w:rPr>
          <w:rFonts w:cs="Arial"/>
          <w:szCs w:val="24"/>
        </w:rPr>
        <w:t>to</w:t>
      </w:r>
      <w:r w:rsidRPr="005815D2">
        <w:rPr>
          <w:rFonts w:cs="Arial"/>
          <w:szCs w:val="24"/>
        </w:rPr>
        <w:t xml:space="preserve"> the </w:t>
      </w:r>
      <w:r>
        <w:rPr>
          <w:rFonts w:cs="Arial"/>
          <w:szCs w:val="24"/>
        </w:rPr>
        <w:t>L</w:t>
      </w:r>
      <w:r w:rsidRPr="005815D2">
        <w:rPr>
          <w:rFonts w:cs="Arial"/>
          <w:szCs w:val="24"/>
        </w:rPr>
        <w:t xml:space="preserve">and </w:t>
      </w:r>
      <w:r>
        <w:rPr>
          <w:rFonts w:cs="Arial"/>
          <w:szCs w:val="24"/>
        </w:rPr>
        <w:t>U</w:t>
      </w:r>
      <w:r w:rsidRPr="005815D2">
        <w:rPr>
          <w:rFonts w:cs="Arial"/>
          <w:szCs w:val="24"/>
        </w:rPr>
        <w:t xml:space="preserve">se </w:t>
      </w:r>
      <w:r>
        <w:rPr>
          <w:rFonts w:cs="Arial"/>
          <w:szCs w:val="24"/>
        </w:rPr>
        <w:t>D</w:t>
      </w:r>
      <w:r w:rsidRPr="005815D2">
        <w:rPr>
          <w:rFonts w:cs="Arial"/>
          <w:szCs w:val="24"/>
        </w:rPr>
        <w:t xml:space="preserve">esignation from Mineral Resource Extraction Area (MREA) to Escarpment </w:t>
      </w:r>
      <w:r>
        <w:rPr>
          <w:rFonts w:cs="Arial"/>
          <w:szCs w:val="24"/>
        </w:rPr>
        <w:t>Natural</w:t>
      </w:r>
      <w:r w:rsidRPr="005815D2">
        <w:rPr>
          <w:rFonts w:cs="Arial"/>
          <w:szCs w:val="24"/>
        </w:rPr>
        <w:t xml:space="preserve"> Area</w:t>
      </w:r>
      <w:r>
        <w:rPr>
          <w:rFonts w:cs="Arial"/>
          <w:szCs w:val="24"/>
        </w:rPr>
        <w:t xml:space="preserve"> and Escarpment Protection Area</w:t>
      </w:r>
      <w:r w:rsidRPr="005815D2">
        <w:rPr>
          <w:rFonts w:cs="Arial"/>
          <w:szCs w:val="24"/>
        </w:rPr>
        <w:t xml:space="preserve">; as it relates to the surrender of the </w:t>
      </w:r>
      <w:r w:rsidRPr="005815D2">
        <w:rPr>
          <w:rFonts w:cs="Arial"/>
          <w:i/>
          <w:szCs w:val="24"/>
        </w:rPr>
        <w:t>Aggregate Resource Act</w:t>
      </w:r>
      <w:r w:rsidRPr="005815D2">
        <w:rPr>
          <w:rFonts w:cs="Arial"/>
          <w:szCs w:val="24"/>
        </w:rPr>
        <w:t xml:space="preserve"> (ARA) licence </w:t>
      </w:r>
      <w:r>
        <w:rPr>
          <w:rFonts w:cs="Arial"/>
          <w:szCs w:val="24"/>
        </w:rPr>
        <w:t xml:space="preserve">(# 5478), </w:t>
      </w:r>
      <w:r w:rsidRPr="005815D2">
        <w:rPr>
          <w:rFonts w:cs="Arial"/>
          <w:szCs w:val="24"/>
        </w:rPr>
        <w:t xml:space="preserve">on the </w:t>
      </w:r>
      <w:r>
        <w:rPr>
          <w:rFonts w:cs="Arial"/>
          <w:szCs w:val="24"/>
        </w:rPr>
        <w:t>former gravel pit operated by Campbellville Sand and Gravel.</w:t>
      </w:r>
    </w:p>
    <w:bookmarkEnd w:id="1"/>
    <w:p w14:paraId="492CFEE3" w14:textId="77777777" w:rsidR="003A5BB2" w:rsidRPr="003A5BB2" w:rsidRDefault="003A5BB2" w:rsidP="003A5BB2">
      <w:pPr>
        <w:widowControl w:val="0"/>
        <w:tabs>
          <w:tab w:val="left" w:pos="-1368"/>
          <w:tab w:val="left" w:pos="-720"/>
          <w:tab w:val="left" w:pos="0"/>
          <w:tab w:val="left" w:pos="1152"/>
          <w:tab w:val="left" w:pos="2700"/>
        </w:tabs>
        <w:spacing w:after="0" w:line="240" w:lineRule="auto"/>
        <w:rPr>
          <w:rFonts w:ascii="Arial" w:eastAsia="Times New Roman" w:hAnsi="Arial" w:cs="Arial"/>
          <w:snapToGrid w:val="0"/>
          <w:sz w:val="23"/>
          <w:szCs w:val="23"/>
        </w:rPr>
      </w:pPr>
    </w:p>
    <w:p w14:paraId="5E3B2C78"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rPr>
      </w:pPr>
      <w:r w:rsidRPr="003A5BB2">
        <w:rPr>
          <w:rFonts w:ascii="Arial" w:eastAsia="Times New Roman" w:hAnsi="Arial" w:cs="Arial"/>
          <w:b/>
          <w:snapToGrid w:val="0"/>
          <w:szCs w:val="24"/>
        </w:rPr>
        <w:t xml:space="preserve">STAFF SUMMARY RECOMMENDATION:  </w:t>
      </w:r>
    </w:p>
    <w:p w14:paraId="1F25E7EA" w14:textId="77777777" w:rsidR="003A5BB2" w:rsidRPr="003A5BB2" w:rsidRDefault="003A5BB2" w:rsidP="003A5BB2">
      <w:pPr>
        <w:widowControl w:val="0"/>
        <w:tabs>
          <w:tab w:val="left" w:pos="-1368"/>
          <w:tab w:val="left" w:pos="-720"/>
          <w:tab w:val="left" w:pos="1152"/>
          <w:tab w:val="left" w:pos="2700"/>
        </w:tabs>
        <w:spacing w:after="0" w:line="120" w:lineRule="auto"/>
        <w:rPr>
          <w:rFonts w:ascii="Arial" w:eastAsia="Times New Roman" w:hAnsi="Arial" w:cs="Arial"/>
          <w:b/>
          <w:snapToGrid w:val="0"/>
          <w:szCs w:val="24"/>
        </w:rPr>
      </w:pPr>
    </w:p>
    <w:p w14:paraId="0C3EBA34" w14:textId="63B7739B" w:rsidR="003A5BB2" w:rsidRPr="0019513F" w:rsidRDefault="003A5BB2" w:rsidP="001827B1">
      <w:pPr>
        <w:widowControl w:val="0"/>
        <w:tabs>
          <w:tab w:val="left" w:pos="-1368"/>
          <w:tab w:val="left" w:pos="-720"/>
          <w:tab w:val="left" w:pos="1152"/>
          <w:tab w:val="left" w:pos="2700"/>
        </w:tabs>
        <w:rPr>
          <w:rFonts w:ascii="Arial" w:eastAsia="Times New Roman" w:hAnsi="Arial" w:cs="Arial"/>
          <w:bCs/>
          <w:snapToGrid w:val="0"/>
          <w:szCs w:val="24"/>
        </w:rPr>
      </w:pPr>
      <w:r w:rsidRPr="0019513F">
        <w:rPr>
          <w:rFonts w:ascii="Arial" w:eastAsia="Times New Roman" w:hAnsi="Arial" w:cs="Arial"/>
          <w:bCs/>
          <w:snapToGrid w:val="0"/>
          <w:szCs w:val="24"/>
        </w:rPr>
        <w:t xml:space="preserve">That the Commission </w:t>
      </w:r>
      <w:r w:rsidR="001827B1" w:rsidRPr="0019513F">
        <w:rPr>
          <w:rFonts w:ascii="Arial" w:eastAsia="Times New Roman" w:hAnsi="Arial" w:cs="Arial"/>
          <w:bCs/>
          <w:snapToGrid w:val="0"/>
          <w:szCs w:val="24"/>
        </w:rPr>
        <w:t>endorses</w:t>
      </w:r>
      <w:r w:rsidRPr="0019513F">
        <w:rPr>
          <w:rFonts w:ascii="Arial" w:eastAsia="Times New Roman" w:hAnsi="Arial" w:cs="Arial"/>
          <w:bCs/>
          <w:snapToGrid w:val="0"/>
          <w:szCs w:val="24"/>
        </w:rPr>
        <w:t xml:space="preserve"> the </w:t>
      </w:r>
      <w:r w:rsidR="00EB4140">
        <w:rPr>
          <w:rFonts w:ascii="Arial" w:eastAsia="Times New Roman" w:hAnsi="Arial" w:cs="Arial"/>
          <w:bCs/>
          <w:snapToGrid w:val="0"/>
          <w:szCs w:val="24"/>
        </w:rPr>
        <w:t>a</w:t>
      </w:r>
      <w:r w:rsidRPr="0019513F">
        <w:rPr>
          <w:rFonts w:ascii="Arial" w:eastAsia="Times New Roman" w:hAnsi="Arial" w:cs="Arial"/>
          <w:bCs/>
          <w:snapToGrid w:val="0"/>
          <w:szCs w:val="24"/>
        </w:rPr>
        <w:t xml:space="preserve">mendment as </w:t>
      </w:r>
      <w:r w:rsidR="001827B1" w:rsidRPr="0019513F">
        <w:rPr>
          <w:rFonts w:ascii="Arial" w:eastAsia="Times New Roman" w:hAnsi="Arial" w:cs="Arial"/>
          <w:bCs/>
          <w:snapToGrid w:val="0"/>
          <w:szCs w:val="24"/>
        </w:rPr>
        <w:t>set out in this</w:t>
      </w:r>
      <w:r w:rsidRPr="0019513F">
        <w:rPr>
          <w:rFonts w:ascii="Arial" w:eastAsia="Times New Roman" w:hAnsi="Arial" w:cs="Arial"/>
          <w:bCs/>
          <w:snapToGrid w:val="0"/>
          <w:szCs w:val="24"/>
        </w:rPr>
        <w:t xml:space="preserve"> Report and </w:t>
      </w:r>
      <w:r w:rsidR="001827B1" w:rsidRPr="0019513F">
        <w:rPr>
          <w:rFonts w:ascii="Arial" w:eastAsia="Times New Roman" w:hAnsi="Arial" w:cs="Arial"/>
          <w:bCs/>
          <w:snapToGrid w:val="0"/>
          <w:szCs w:val="24"/>
        </w:rPr>
        <w:t>attached as Schedule A, and requests</w:t>
      </w:r>
      <w:r w:rsidRPr="0019513F">
        <w:rPr>
          <w:rFonts w:ascii="Arial" w:eastAsia="Times New Roman" w:hAnsi="Arial" w:cs="Arial"/>
          <w:bCs/>
          <w:snapToGrid w:val="0"/>
          <w:szCs w:val="24"/>
        </w:rPr>
        <w:t xml:space="preserve"> that the Minister </w:t>
      </w:r>
      <w:r w:rsidR="001827B1" w:rsidRPr="0019513F">
        <w:rPr>
          <w:rFonts w:ascii="Arial" w:eastAsia="Times New Roman" w:hAnsi="Arial" w:cs="Arial"/>
          <w:bCs/>
          <w:snapToGrid w:val="0"/>
          <w:szCs w:val="24"/>
        </w:rPr>
        <w:t xml:space="preserve">of Natural Resources and Forestry </w:t>
      </w:r>
      <w:r w:rsidRPr="0019513F">
        <w:rPr>
          <w:rFonts w:ascii="Arial" w:eastAsia="Times New Roman" w:hAnsi="Arial" w:cs="Arial"/>
          <w:bCs/>
          <w:snapToGrid w:val="0"/>
          <w:szCs w:val="24"/>
        </w:rPr>
        <w:t xml:space="preserve">approve the </w:t>
      </w:r>
      <w:r w:rsidR="00EB4140">
        <w:rPr>
          <w:rFonts w:ascii="Arial" w:eastAsia="Times New Roman" w:hAnsi="Arial" w:cs="Arial"/>
          <w:bCs/>
          <w:snapToGrid w:val="0"/>
          <w:szCs w:val="24"/>
        </w:rPr>
        <w:t>a</w:t>
      </w:r>
      <w:r w:rsidRPr="0019513F">
        <w:rPr>
          <w:rFonts w:ascii="Arial" w:eastAsia="Times New Roman" w:hAnsi="Arial" w:cs="Arial"/>
          <w:bCs/>
          <w:snapToGrid w:val="0"/>
          <w:szCs w:val="24"/>
        </w:rPr>
        <w:t xml:space="preserve">mendment pursuant to Section 10 (11) of the </w:t>
      </w:r>
      <w:r w:rsidRPr="0019513F">
        <w:rPr>
          <w:rFonts w:ascii="Arial" w:eastAsia="Times New Roman" w:hAnsi="Arial" w:cs="Arial"/>
          <w:bCs/>
          <w:i/>
          <w:snapToGrid w:val="0"/>
          <w:szCs w:val="24"/>
        </w:rPr>
        <w:t>Niagara Escarpment Planning and Development Act</w:t>
      </w:r>
      <w:r w:rsidRPr="0019513F">
        <w:rPr>
          <w:rFonts w:ascii="Arial" w:eastAsia="Times New Roman" w:hAnsi="Arial" w:cs="Arial"/>
          <w:bCs/>
          <w:snapToGrid w:val="0"/>
          <w:szCs w:val="24"/>
        </w:rPr>
        <w:t xml:space="preserve"> (NEPDA).</w:t>
      </w:r>
    </w:p>
    <w:p w14:paraId="13D9E1C0" w14:textId="28B651BA" w:rsidR="001827B1" w:rsidRDefault="001827B1" w:rsidP="001827B1">
      <w:pPr>
        <w:widowControl w:val="0"/>
        <w:tabs>
          <w:tab w:val="left" w:pos="-1368"/>
          <w:tab w:val="left" w:pos="-720"/>
          <w:tab w:val="left" w:pos="1152"/>
          <w:tab w:val="left" w:pos="2700"/>
        </w:tabs>
        <w:rPr>
          <w:rFonts w:ascii="Arial" w:eastAsia="Times New Roman" w:hAnsi="Arial" w:cs="Arial"/>
          <w:b/>
          <w:snapToGrid w:val="0"/>
          <w:szCs w:val="24"/>
        </w:rPr>
      </w:pPr>
    </w:p>
    <w:p w14:paraId="57545604" w14:textId="27385A7B" w:rsidR="003A5BB2" w:rsidRDefault="00702367" w:rsidP="00146880">
      <w:pPr>
        <w:numPr>
          <w:ilvl w:val="0"/>
          <w:numId w:val="11"/>
        </w:numPr>
        <w:pBdr>
          <w:bottom w:val="single" w:sz="4" w:space="1" w:color="auto"/>
        </w:pBdr>
        <w:spacing w:after="0" w:line="240" w:lineRule="auto"/>
        <w:ind w:left="360"/>
        <w:jc w:val="both"/>
        <w:rPr>
          <w:rFonts w:ascii="Arial" w:eastAsia="Times New Roman" w:hAnsi="Arial" w:cs="Arial"/>
          <w:b/>
          <w:szCs w:val="24"/>
        </w:rPr>
      </w:pPr>
      <w:r>
        <w:rPr>
          <w:rFonts w:ascii="Arial" w:eastAsia="Times New Roman" w:hAnsi="Arial" w:cs="Arial"/>
          <w:b/>
          <w:szCs w:val="24"/>
        </w:rPr>
        <w:lastRenderedPageBreak/>
        <w:t xml:space="preserve">    </w:t>
      </w:r>
      <w:r w:rsidR="003A5BB2" w:rsidRPr="003A5BB2">
        <w:rPr>
          <w:rFonts w:ascii="Arial" w:eastAsia="Times New Roman" w:hAnsi="Arial" w:cs="Arial"/>
          <w:b/>
          <w:szCs w:val="24"/>
        </w:rPr>
        <w:t>PROCESS HISTORY / BACKGROUND</w:t>
      </w:r>
      <w:r w:rsidR="007B145C">
        <w:rPr>
          <w:rFonts w:ascii="Arial" w:eastAsia="Times New Roman" w:hAnsi="Arial" w:cs="Arial"/>
          <w:b/>
          <w:szCs w:val="24"/>
        </w:rPr>
        <w:t xml:space="preserve"> </w:t>
      </w:r>
    </w:p>
    <w:p w14:paraId="3DE4B6DE" w14:textId="77777777" w:rsidR="001827B1" w:rsidRPr="003A5BB2" w:rsidRDefault="001827B1" w:rsidP="00146880">
      <w:pPr>
        <w:spacing w:after="0" w:line="240" w:lineRule="auto"/>
        <w:jc w:val="both"/>
        <w:rPr>
          <w:rFonts w:ascii="Arial" w:eastAsia="Times New Roman" w:hAnsi="Arial" w:cs="Arial"/>
          <w:b/>
          <w:szCs w:val="24"/>
        </w:rPr>
      </w:pPr>
    </w:p>
    <w:p w14:paraId="3FBD1C27" w14:textId="1F087399" w:rsidR="003A5BB2" w:rsidRDefault="001C6338" w:rsidP="00146880">
      <w:pPr>
        <w:rPr>
          <w:rFonts w:ascii="Arial" w:eastAsia="Times New Roman" w:hAnsi="Arial" w:cs="Arial"/>
          <w:snapToGrid w:val="0"/>
          <w:szCs w:val="24"/>
        </w:rPr>
      </w:pPr>
      <w:r w:rsidRPr="001C6338">
        <w:rPr>
          <w:rFonts w:ascii="Arial" w:eastAsia="Times New Roman" w:hAnsi="Arial" w:cs="Arial"/>
          <w:snapToGrid w:val="0"/>
          <w:szCs w:val="24"/>
        </w:rPr>
        <w:t xml:space="preserve">At its meeting </w:t>
      </w:r>
      <w:r>
        <w:rPr>
          <w:rFonts w:ascii="Arial" w:eastAsia="Times New Roman" w:hAnsi="Arial" w:cs="Arial"/>
          <w:snapToGrid w:val="0"/>
          <w:szCs w:val="24"/>
        </w:rPr>
        <w:t>on</w:t>
      </w:r>
      <w:r w:rsidRPr="001C6338">
        <w:rPr>
          <w:rFonts w:ascii="Arial" w:eastAsia="Times New Roman" w:hAnsi="Arial" w:cs="Arial"/>
          <w:snapToGrid w:val="0"/>
          <w:szCs w:val="24"/>
        </w:rPr>
        <w:t xml:space="preserve"> July 15, 2021, the Niagara Escarpment Commission (NEC) decided to initiate </w:t>
      </w:r>
      <w:r>
        <w:rPr>
          <w:rFonts w:ascii="Arial" w:eastAsia="Times New Roman" w:hAnsi="Arial" w:cs="Arial"/>
          <w:snapToGrid w:val="0"/>
          <w:szCs w:val="24"/>
        </w:rPr>
        <w:t>and</w:t>
      </w:r>
      <w:r w:rsidRPr="001C6338">
        <w:rPr>
          <w:rFonts w:ascii="Arial" w:eastAsia="Times New Roman" w:hAnsi="Arial" w:cs="Arial"/>
          <w:snapToGrid w:val="0"/>
          <w:szCs w:val="24"/>
        </w:rPr>
        <w:t xml:space="preserve"> circulate the proposed amendment for comments.</w:t>
      </w:r>
    </w:p>
    <w:p w14:paraId="2D2442EF" w14:textId="77777777" w:rsidR="00E20AC6" w:rsidRDefault="00E20AC6" w:rsidP="00E20AC6">
      <w:pPr>
        <w:tabs>
          <w:tab w:val="left" w:pos="-720"/>
        </w:tabs>
        <w:suppressAutoHyphens/>
        <w:rPr>
          <w:rFonts w:ascii="Arial" w:hAnsi="Arial" w:cs="Arial"/>
        </w:rPr>
      </w:pPr>
      <w:r>
        <w:rPr>
          <w:rFonts w:ascii="Arial" w:hAnsi="Arial" w:cs="Arial"/>
        </w:rPr>
        <w:t xml:space="preserve">The lands are currently designated MREA in the NEP (Map 1), in conjunction with a sand and gravel pit extraction operation that was established in the 1960s (pre-NEP/Development Control).  The extraction activities have ceased, and the licence has been surrendered, as confirmed by the Integrated Aggregates Operations Section of the Ministry of Natural Resources and Forestry (MNRF). </w:t>
      </w:r>
    </w:p>
    <w:p w14:paraId="2C8AEA5C" w14:textId="6E54BCE7" w:rsidR="00146880" w:rsidRPr="00146880" w:rsidRDefault="00146880" w:rsidP="00146880">
      <w:pPr>
        <w:tabs>
          <w:tab w:val="left" w:pos="-720"/>
        </w:tabs>
        <w:suppressAutoHyphens/>
        <w:spacing w:after="0"/>
        <w:rPr>
          <w:rFonts w:cstheme="minorHAnsi"/>
          <w:szCs w:val="24"/>
          <w:shd w:val="clear" w:color="auto" w:fill="FFFFFF"/>
        </w:rPr>
      </w:pPr>
      <w:r w:rsidRPr="00146880">
        <w:rPr>
          <w:rFonts w:cstheme="minorHAnsi"/>
          <w:szCs w:val="24"/>
          <w:shd w:val="clear" w:color="auto" w:fill="FFFFFF"/>
        </w:rPr>
        <w:t xml:space="preserve">Proposed NEP </w:t>
      </w:r>
      <w:r w:rsidR="001D7C99">
        <w:rPr>
          <w:rFonts w:cstheme="minorHAnsi"/>
          <w:szCs w:val="24"/>
          <w:shd w:val="clear" w:color="auto" w:fill="FFFFFF"/>
        </w:rPr>
        <w:t>a</w:t>
      </w:r>
      <w:r w:rsidRPr="00146880">
        <w:rPr>
          <w:rFonts w:cstheme="minorHAnsi"/>
          <w:szCs w:val="24"/>
          <w:shd w:val="clear" w:color="auto" w:fill="FFFFFF"/>
        </w:rPr>
        <w:t xml:space="preserve">mendment PH 222 21 for the adjacent lands at 3475 Campbellville Rd (North Pit) is being processed concurrently with the amendment application for </w:t>
      </w:r>
      <w:r w:rsidR="001D7C99">
        <w:rPr>
          <w:rFonts w:cstheme="minorHAnsi"/>
          <w:szCs w:val="24"/>
          <w:shd w:val="clear" w:color="auto" w:fill="FFFFFF"/>
        </w:rPr>
        <w:t xml:space="preserve">the subject lands at </w:t>
      </w:r>
      <w:r w:rsidRPr="00146880">
        <w:rPr>
          <w:rFonts w:cstheme="minorHAnsi"/>
          <w:szCs w:val="24"/>
          <w:shd w:val="clear" w:color="auto" w:fill="FFFFFF"/>
        </w:rPr>
        <w:t xml:space="preserve">4000 Campbellville Rd (South Pit). While related, the proposed amendments are being processed as separate amendment files, given that the parcels operated under separate </w:t>
      </w:r>
      <w:r w:rsidR="00E20AC6">
        <w:rPr>
          <w:rFonts w:cstheme="minorHAnsi"/>
          <w:szCs w:val="24"/>
          <w:shd w:val="clear" w:color="auto" w:fill="FFFFFF"/>
        </w:rPr>
        <w:t xml:space="preserve">ARA </w:t>
      </w:r>
      <w:r w:rsidRPr="00146880">
        <w:rPr>
          <w:rFonts w:cstheme="minorHAnsi"/>
          <w:szCs w:val="24"/>
          <w:shd w:val="clear" w:color="auto" w:fill="FFFFFF"/>
        </w:rPr>
        <w:t xml:space="preserve">licences, and are now under separate </w:t>
      </w:r>
      <w:r w:rsidR="00E20AC6">
        <w:rPr>
          <w:rFonts w:cstheme="minorHAnsi"/>
          <w:szCs w:val="24"/>
          <w:shd w:val="clear" w:color="auto" w:fill="FFFFFF"/>
        </w:rPr>
        <w:t xml:space="preserve">private </w:t>
      </w:r>
      <w:r w:rsidRPr="00146880">
        <w:rPr>
          <w:rFonts w:cstheme="minorHAnsi"/>
          <w:szCs w:val="24"/>
          <w:shd w:val="clear" w:color="auto" w:fill="FFFFFF"/>
        </w:rPr>
        <w:t xml:space="preserve">ownership.  </w:t>
      </w:r>
      <w:r w:rsidR="00E20AC6">
        <w:rPr>
          <w:rFonts w:cstheme="minorHAnsi"/>
          <w:szCs w:val="24"/>
          <w:shd w:val="clear" w:color="auto" w:fill="FFFFFF"/>
        </w:rPr>
        <w:t>Proposed a</w:t>
      </w:r>
      <w:r w:rsidR="00E20AC6" w:rsidRPr="00146880">
        <w:rPr>
          <w:rFonts w:cstheme="minorHAnsi"/>
          <w:szCs w:val="24"/>
          <w:shd w:val="clear" w:color="auto" w:fill="FFFFFF"/>
        </w:rPr>
        <w:t xml:space="preserve">mendment PH 222 21 </w:t>
      </w:r>
      <w:r w:rsidR="00E20AC6">
        <w:rPr>
          <w:rFonts w:cstheme="minorHAnsi"/>
          <w:szCs w:val="24"/>
          <w:shd w:val="clear" w:color="auto" w:fill="FFFFFF"/>
        </w:rPr>
        <w:t>(3475 Campbellville, North Pit) has been</w:t>
      </w:r>
      <w:r w:rsidRPr="00146880">
        <w:rPr>
          <w:rFonts w:cstheme="minorHAnsi"/>
          <w:szCs w:val="24"/>
          <w:shd w:val="clear" w:color="auto" w:fill="FFFFFF"/>
        </w:rPr>
        <w:t xml:space="preserve"> initiated by the NEC, while the application for amendment at 4000 Campbellville (South Pit) has been made by the landowner.  The planning analysis for both proposed amendments </w:t>
      </w:r>
      <w:r>
        <w:rPr>
          <w:rFonts w:cstheme="minorHAnsi"/>
          <w:szCs w:val="24"/>
          <w:shd w:val="clear" w:color="auto" w:fill="FFFFFF"/>
        </w:rPr>
        <w:t>is</w:t>
      </w:r>
      <w:r w:rsidRPr="00146880">
        <w:rPr>
          <w:rFonts w:cstheme="minorHAnsi"/>
          <w:szCs w:val="24"/>
          <w:shd w:val="clear" w:color="auto" w:fill="FFFFFF"/>
        </w:rPr>
        <w:t xml:space="preserve"> similar, given the proximity of the sites to each other on the landscape and that they are both seeking re-designations of </w:t>
      </w:r>
      <w:r w:rsidR="008F208C">
        <w:rPr>
          <w:rFonts w:cstheme="minorHAnsi"/>
          <w:szCs w:val="24"/>
          <w:shd w:val="clear" w:color="auto" w:fill="FFFFFF"/>
        </w:rPr>
        <w:t xml:space="preserve">a </w:t>
      </w:r>
      <w:r w:rsidRPr="00146880">
        <w:rPr>
          <w:rFonts w:cstheme="minorHAnsi"/>
          <w:szCs w:val="24"/>
          <w:shd w:val="clear" w:color="auto" w:fill="FFFFFF"/>
        </w:rPr>
        <w:t xml:space="preserve">former MREA. </w:t>
      </w:r>
    </w:p>
    <w:p w14:paraId="0711ED67" w14:textId="77777777" w:rsidR="00146880" w:rsidRDefault="00146880" w:rsidP="003A5BB2">
      <w:pPr>
        <w:widowControl w:val="0"/>
        <w:pBdr>
          <w:bottom w:val="single" w:sz="4" w:space="1" w:color="auto"/>
        </w:pBdr>
        <w:tabs>
          <w:tab w:val="left" w:pos="-1368"/>
          <w:tab w:val="left" w:pos="-720"/>
          <w:tab w:val="left" w:pos="1152"/>
          <w:tab w:val="left" w:pos="2700"/>
        </w:tabs>
        <w:spacing w:after="0" w:line="240" w:lineRule="auto"/>
        <w:jc w:val="both"/>
        <w:rPr>
          <w:rFonts w:ascii="Arial" w:eastAsia="Times New Roman" w:hAnsi="Arial" w:cs="Arial"/>
          <w:b/>
          <w:snapToGrid w:val="0"/>
          <w:szCs w:val="24"/>
        </w:rPr>
      </w:pPr>
    </w:p>
    <w:p w14:paraId="54EDD610" w14:textId="209B7631" w:rsidR="003A5BB2" w:rsidRPr="003A5BB2" w:rsidRDefault="003A5BB2" w:rsidP="003A5BB2">
      <w:pPr>
        <w:widowControl w:val="0"/>
        <w:pBdr>
          <w:bottom w:val="single" w:sz="4" w:space="1" w:color="auto"/>
        </w:pBdr>
        <w:tabs>
          <w:tab w:val="left" w:pos="-1368"/>
          <w:tab w:val="left" w:pos="-720"/>
          <w:tab w:val="left" w:pos="1152"/>
          <w:tab w:val="left" w:pos="2700"/>
        </w:tabs>
        <w:spacing w:after="0" w:line="240" w:lineRule="auto"/>
        <w:jc w:val="both"/>
        <w:rPr>
          <w:rFonts w:ascii="Arial" w:eastAsia="Times New Roman" w:hAnsi="Arial" w:cs="Arial"/>
          <w:b/>
          <w:snapToGrid w:val="0"/>
          <w:szCs w:val="24"/>
        </w:rPr>
      </w:pPr>
      <w:r w:rsidRPr="003A5BB2">
        <w:rPr>
          <w:rFonts w:ascii="Arial" w:eastAsia="Times New Roman" w:hAnsi="Arial" w:cs="Arial"/>
          <w:b/>
          <w:snapToGrid w:val="0"/>
          <w:szCs w:val="24"/>
        </w:rPr>
        <w:t>B.     SITE DESCRIPTION AND SURROUNDING LAND USES</w:t>
      </w:r>
    </w:p>
    <w:p w14:paraId="433A121B" w14:textId="77777777" w:rsidR="003A5BB2" w:rsidRPr="003A5BB2" w:rsidRDefault="003A5BB2" w:rsidP="003A5BB2">
      <w:pPr>
        <w:widowControl w:val="0"/>
        <w:tabs>
          <w:tab w:val="left" w:pos="-1368"/>
          <w:tab w:val="left" w:pos="-720"/>
          <w:tab w:val="left" w:pos="1152"/>
          <w:tab w:val="left" w:pos="2700"/>
        </w:tabs>
        <w:spacing w:after="0" w:line="120" w:lineRule="auto"/>
        <w:jc w:val="both"/>
        <w:rPr>
          <w:rFonts w:ascii="Arial" w:eastAsia="Times New Roman" w:hAnsi="Arial" w:cs="Arial"/>
          <w:snapToGrid w:val="0"/>
          <w:szCs w:val="24"/>
        </w:rPr>
      </w:pPr>
      <w:r w:rsidRPr="003A5BB2">
        <w:rPr>
          <w:rFonts w:ascii="Arial" w:eastAsia="Times New Roman" w:hAnsi="Arial" w:cs="Arial"/>
          <w:snapToGrid w:val="0"/>
          <w:szCs w:val="24"/>
        </w:rPr>
        <w:br/>
      </w:r>
    </w:p>
    <w:p w14:paraId="4BD904C5" w14:textId="77777777" w:rsidR="007E2053" w:rsidRDefault="007E2053" w:rsidP="007E2053">
      <w:pPr>
        <w:tabs>
          <w:tab w:val="left" w:pos="-720"/>
        </w:tabs>
        <w:suppressAutoHyphens/>
        <w:rPr>
          <w:rFonts w:ascii="Arial" w:hAnsi="Arial" w:cs="Arial"/>
        </w:rPr>
      </w:pPr>
      <w:r w:rsidRPr="00A12DED">
        <w:rPr>
          <w:rFonts w:ascii="Arial" w:hAnsi="Arial" w:cs="Arial"/>
        </w:rPr>
        <w:t xml:space="preserve">The </w:t>
      </w:r>
      <w:r>
        <w:rPr>
          <w:rFonts w:ascii="Arial" w:hAnsi="Arial" w:cs="Arial"/>
        </w:rPr>
        <w:t xml:space="preserve">subject property described </w:t>
      </w:r>
      <w:r>
        <w:rPr>
          <w:rFonts w:ascii="Arial" w:hAnsi="Arial" w:cs="Arial"/>
          <w:szCs w:val="24"/>
          <w:lang w:eastAsia="en-CA"/>
        </w:rPr>
        <w:t xml:space="preserve">municipally as Lot 5, Concession 5 in the Town of Milton is approximately 17.8 ha (44 ac) and </w:t>
      </w:r>
      <w:r>
        <w:rPr>
          <w:rFonts w:ascii="Arial" w:hAnsi="Arial" w:cs="Arial"/>
        </w:rPr>
        <w:t>located on, and accessed from, the south side of Campbellville Road, just west of Appleby Line.  The property backs onto Highway No. 401 along the southern boundary of the parcel.</w:t>
      </w:r>
    </w:p>
    <w:p w14:paraId="30A148CA" w14:textId="1820DC14" w:rsidR="001827B1" w:rsidRDefault="007E2053" w:rsidP="007E2053">
      <w:pPr>
        <w:tabs>
          <w:tab w:val="left" w:pos="-720"/>
        </w:tabs>
        <w:suppressAutoHyphens/>
        <w:rPr>
          <w:rFonts w:ascii="Arial" w:hAnsi="Arial" w:cs="Arial"/>
          <w:szCs w:val="24"/>
          <w:lang w:eastAsia="en-CA"/>
        </w:rPr>
      </w:pPr>
      <w:r>
        <w:rPr>
          <w:rFonts w:ascii="Arial" w:hAnsi="Arial" w:cs="Arial"/>
          <w:szCs w:val="24"/>
          <w:lang w:eastAsia="en-CA"/>
        </w:rPr>
        <w:t xml:space="preserve">The subject property has been rehabilitated to the satisfaction of the MNRF and is </w:t>
      </w:r>
      <w:r w:rsidR="001C6338">
        <w:rPr>
          <w:rFonts w:ascii="Arial" w:hAnsi="Arial" w:cs="Arial"/>
          <w:szCs w:val="24"/>
          <w:lang w:eastAsia="en-CA"/>
        </w:rPr>
        <w:t>currently</w:t>
      </w:r>
      <w:r>
        <w:rPr>
          <w:rFonts w:ascii="Arial" w:hAnsi="Arial" w:cs="Arial"/>
          <w:szCs w:val="24"/>
          <w:lang w:eastAsia="en-CA"/>
        </w:rPr>
        <w:t xml:space="preserve"> in agricultural production (corn crop).  </w:t>
      </w:r>
      <w:r w:rsidR="00E20AC6">
        <w:rPr>
          <w:rFonts w:ascii="Arial" w:hAnsi="Arial" w:cs="Arial"/>
          <w:szCs w:val="24"/>
          <w:lang w:eastAsia="en-CA"/>
        </w:rPr>
        <w:t xml:space="preserve">The primary restoration of the site included backfilling of the pit, including a large pond feature. </w:t>
      </w:r>
      <w:r>
        <w:rPr>
          <w:rFonts w:ascii="Arial" w:hAnsi="Arial" w:cs="Arial"/>
        </w:rPr>
        <w:t xml:space="preserve">The most westerly portion of the </w:t>
      </w:r>
      <w:r w:rsidR="001827B1">
        <w:rPr>
          <w:rFonts w:ascii="Arial" w:hAnsi="Arial" w:cs="Arial"/>
        </w:rPr>
        <w:t>land</w:t>
      </w:r>
      <w:r>
        <w:rPr>
          <w:rFonts w:ascii="Arial" w:hAnsi="Arial" w:cs="Arial"/>
        </w:rPr>
        <w:t xml:space="preserve"> contains a pond and is traversed by a tributary of Sixteen Mile Creek (also designated MREA but was located outside of the extraction area boundary</w:t>
      </w:r>
      <w:r w:rsidR="001827B1">
        <w:rPr>
          <w:rFonts w:ascii="Arial" w:hAnsi="Arial" w:cs="Arial"/>
        </w:rPr>
        <w:t xml:space="preserve"> and therefore never extracted</w:t>
      </w:r>
      <w:r>
        <w:rPr>
          <w:rFonts w:ascii="Arial" w:hAnsi="Arial" w:cs="Arial"/>
        </w:rPr>
        <w:t xml:space="preserve">).  The subject lands are well screened from Campbellville Road and the 401 with heavily vegetated berms. </w:t>
      </w:r>
      <w:r>
        <w:rPr>
          <w:rFonts w:ascii="Arial" w:hAnsi="Arial" w:cs="Arial"/>
          <w:szCs w:val="24"/>
          <w:lang w:eastAsia="en-CA"/>
        </w:rPr>
        <w:t>Surrounding land uses include rural residential, agricultural</w:t>
      </w:r>
      <w:r w:rsidR="00454908">
        <w:rPr>
          <w:rFonts w:ascii="Arial" w:hAnsi="Arial" w:cs="Arial"/>
          <w:szCs w:val="24"/>
          <w:lang w:eastAsia="en-CA"/>
        </w:rPr>
        <w:t>,</w:t>
      </w:r>
      <w:r>
        <w:rPr>
          <w:rFonts w:ascii="Arial" w:hAnsi="Arial" w:cs="Arial"/>
          <w:szCs w:val="24"/>
          <w:lang w:eastAsia="en-CA"/>
        </w:rPr>
        <w:t xml:space="preserve"> and conservation lands.</w:t>
      </w:r>
    </w:p>
    <w:p w14:paraId="0651BEAE" w14:textId="7E8CB8DD" w:rsidR="007E2053" w:rsidRDefault="007E2053" w:rsidP="007E2053">
      <w:pPr>
        <w:tabs>
          <w:tab w:val="left" w:pos="-720"/>
        </w:tabs>
        <w:suppressAutoHyphens/>
        <w:rPr>
          <w:rFonts w:ascii="Arial" w:hAnsi="Arial" w:cs="Arial"/>
          <w:szCs w:val="24"/>
          <w:lang w:eastAsia="en-CA"/>
        </w:rPr>
      </w:pPr>
      <w:r>
        <w:rPr>
          <w:rFonts w:ascii="Arial" w:hAnsi="Arial" w:cs="Arial"/>
          <w:szCs w:val="24"/>
          <w:lang w:eastAsia="en-CA"/>
        </w:rPr>
        <w:t xml:space="preserve">The Halton Forest South Life Science Area of Natural and Scientific Interest (ANSI) is situated to the north of the subject lands and </w:t>
      </w:r>
      <w:r w:rsidR="00E16248">
        <w:rPr>
          <w:rFonts w:ascii="Arial" w:hAnsi="Arial" w:cs="Arial"/>
          <w:szCs w:val="24"/>
          <w:lang w:eastAsia="en-CA"/>
        </w:rPr>
        <w:t xml:space="preserve">also </w:t>
      </w:r>
      <w:r>
        <w:rPr>
          <w:rFonts w:ascii="Arial" w:hAnsi="Arial" w:cs="Arial"/>
          <w:szCs w:val="24"/>
          <w:lang w:eastAsia="en-CA"/>
        </w:rPr>
        <w:t xml:space="preserve">includes the Halton Escarpment Provincially Significant Wetland Complex and Hilton Falls.  The boundary of the ANSI is largely coincident with the boundary of the Hilton Falls Environmentally Sensitive Area </w:t>
      </w:r>
      <w:r>
        <w:rPr>
          <w:rFonts w:ascii="Arial" w:hAnsi="Arial" w:cs="Arial"/>
          <w:szCs w:val="24"/>
          <w:lang w:eastAsia="en-CA"/>
        </w:rPr>
        <w:lastRenderedPageBreak/>
        <w:t xml:space="preserve">(ESA).  The Guelph Junction Provincially Significant Wetland complex is situated to the south and west of the subject lands. </w:t>
      </w:r>
    </w:p>
    <w:p w14:paraId="4C3D2F88" w14:textId="77777777" w:rsidR="001827B1" w:rsidRDefault="007E2053" w:rsidP="001827B1">
      <w:pPr>
        <w:tabs>
          <w:tab w:val="left" w:pos="-720"/>
        </w:tabs>
        <w:suppressAutoHyphens/>
        <w:rPr>
          <w:rFonts w:ascii="Arial" w:hAnsi="Arial" w:cs="Arial"/>
          <w:szCs w:val="24"/>
          <w:lang w:eastAsia="en-CA"/>
        </w:rPr>
      </w:pPr>
      <w:r>
        <w:rPr>
          <w:rFonts w:ascii="Arial" w:hAnsi="Arial" w:cs="Arial"/>
          <w:szCs w:val="24"/>
          <w:lang w:eastAsia="en-CA"/>
        </w:rPr>
        <w:t xml:space="preserve">These environmentally significant lands are also included in the Niagara Escarpment Parks and Open Space System (NEPOSS), as the Hilton Falls Conservation Area (Natural Environment Classification) (Maps 1 &amp; 3). Highway 401 is situated to the south of the subject lands, with additional rural residential and agricultural uses to the east, and the Hamlet of Campbellville and the former Campbellville North pit adjacent to the west. </w:t>
      </w:r>
      <w:r w:rsidR="003A5BB2" w:rsidRPr="003A5BB2">
        <w:rPr>
          <w:rFonts w:ascii="Arial" w:eastAsia="Times New Roman" w:hAnsi="Arial" w:cs="Arial"/>
          <w:snapToGrid w:val="0"/>
          <w:szCs w:val="24"/>
        </w:rPr>
        <w:t xml:space="preserve"> </w:t>
      </w:r>
    </w:p>
    <w:p w14:paraId="33622DE7" w14:textId="65155FE1" w:rsidR="003A5BB2" w:rsidRPr="001827B1" w:rsidRDefault="002240E1" w:rsidP="007B145C">
      <w:pPr>
        <w:pStyle w:val="ListParagraph"/>
        <w:numPr>
          <w:ilvl w:val="0"/>
          <w:numId w:val="18"/>
        </w:numPr>
        <w:pBdr>
          <w:bottom w:val="single" w:sz="4" w:space="1" w:color="auto"/>
        </w:pBdr>
        <w:tabs>
          <w:tab w:val="left" w:pos="-720"/>
        </w:tabs>
        <w:suppressAutoHyphens/>
        <w:rPr>
          <w:rFonts w:ascii="Arial" w:hAnsi="Arial" w:cs="Arial"/>
          <w:szCs w:val="24"/>
          <w:lang w:eastAsia="en-CA"/>
        </w:rPr>
      </w:pPr>
      <w:r>
        <w:rPr>
          <w:rFonts w:ascii="Arial" w:eastAsia="Times New Roman" w:hAnsi="Arial" w:cs="Arial"/>
          <w:b/>
          <w:snapToGrid w:val="0"/>
          <w:szCs w:val="24"/>
        </w:rPr>
        <w:t xml:space="preserve">  </w:t>
      </w:r>
      <w:r w:rsidR="003A5BB2" w:rsidRPr="001827B1">
        <w:rPr>
          <w:rFonts w:ascii="Arial" w:eastAsia="Times New Roman" w:hAnsi="Arial" w:cs="Arial"/>
          <w:b/>
          <w:snapToGrid w:val="0"/>
          <w:szCs w:val="24"/>
        </w:rPr>
        <w:t>CIRCULATION AND COMMENTS</w:t>
      </w:r>
    </w:p>
    <w:p w14:paraId="4283A14F" w14:textId="0019E26F" w:rsidR="003A5BB2" w:rsidRPr="003A5BB2" w:rsidRDefault="003A5BB2" w:rsidP="001827B1">
      <w:pPr>
        <w:widowControl w:val="0"/>
        <w:tabs>
          <w:tab w:val="left" w:pos="-1368"/>
          <w:tab w:val="left" w:pos="-720"/>
          <w:tab w:val="left" w:pos="1152"/>
          <w:tab w:val="left" w:pos="2700"/>
        </w:tabs>
        <w:rPr>
          <w:rFonts w:ascii="Arial" w:eastAsia="Times New Roman" w:hAnsi="Arial" w:cs="Arial"/>
          <w:snapToGrid w:val="0"/>
          <w:szCs w:val="24"/>
        </w:rPr>
      </w:pPr>
      <w:r w:rsidRPr="001827B1">
        <w:rPr>
          <w:rFonts w:ascii="Arial" w:hAnsi="Arial" w:cs="Arial"/>
          <w:szCs w:val="24"/>
          <w:lang w:eastAsia="en-CA"/>
        </w:rPr>
        <w:t xml:space="preserve">On </w:t>
      </w:r>
      <w:r w:rsidR="004151A0" w:rsidRPr="001827B1">
        <w:rPr>
          <w:rFonts w:ascii="Arial" w:hAnsi="Arial" w:cs="Arial"/>
          <w:szCs w:val="24"/>
          <w:lang w:eastAsia="en-CA"/>
        </w:rPr>
        <w:t>August 26, 2021,</w:t>
      </w:r>
      <w:r w:rsidR="001C6338" w:rsidRPr="001827B1">
        <w:rPr>
          <w:rFonts w:ascii="Arial" w:hAnsi="Arial" w:cs="Arial"/>
          <w:szCs w:val="24"/>
          <w:lang w:eastAsia="en-CA"/>
        </w:rPr>
        <w:t xml:space="preserve"> </w:t>
      </w:r>
      <w:r w:rsidRPr="001827B1">
        <w:rPr>
          <w:rFonts w:ascii="Arial" w:hAnsi="Arial" w:cs="Arial"/>
          <w:szCs w:val="24"/>
          <w:lang w:eastAsia="en-CA"/>
        </w:rPr>
        <w:t>the NEC circulated the proposed amendment and requested</w:t>
      </w:r>
      <w:r w:rsidR="00E20AC6">
        <w:rPr>
          <w:rFonts w:ascii="Arial" w:hAnsi="Arial" w:cs="Arial"/>
          <w:szCs w:val="24"/>
          <w:lang w:eastAsia="en-CA"/>
        </w:rPr>
        <w:t xml:space="preserve"> </w:t>
      </w:r>
      <w:r w:rsidRPr="001827B1">
        <w:rPr>
          <w:rFonts w:ascii="Arial" w:hAnsi="Arial" w:cs="Arial"/>
          <w:szCs w:val="24"/>
          <w:lang w:eastAsia="en-CA"/>
        </w:rPr>
        <w:t xml:space="preserve">comments from relevant Ministries, affected municipalities, stakeholders and interested </w:t>
      </w:r>
      <w:r w:rsidRPr="003A5BB2">
        <w:rPr>
          <w:rFonts w:ascii="Arial" w:eastAsia="Times New Roman" w:hAnsi="Arial" w:cs="Arial"/>
          <w:snapToGrid w:val="0"/>
          <w:szCs w:val="24"/>
        </w:rPr>
        <w:t>parties</w:t>
      </w:r>
      <w:r w:rsidR="00E20AC6">
        <w:rPr>
          <w:rFonts w:ascii="Arial" w:eastAsia="Times New Roman" w:hAnsi="Arial" w:cs="Arial"/>
          <w:snapToGrid w:val="0"/>
          <w:szCs w:val="24"/>
        </w:rPr>
        <w:t>,</w:t>
      </w:r>
      <w:r w:rsidRPr="003A5BB2">
        <w:rPr>
          <w:rFonts w:ascii="Arial" w:eastAsia="Times New Roman" w:hAnsi="Arial" w:cs="Arial"/>
          <w:snapToGrid w:val="0"/>
          <w:szCs w:val="24"/>
        </w:rPr>
        <w:t xml:space="preserve"> and the public. Comments were to be filed by </w:t>
      </w:r>
      <w:r w:rsidR="004151A0">
        <w:rPr>
          <w:rFonts w:ascii="Arial" w:eastAsia="Times New Roman" w:hAnsi="Arial" w:cs="Arial"/>
          <w:snapToGrid w:val="0"/>
          <w:szCs w:val="24"/>
        </w:rPr>
        <w:t xml:space="preserve">October 25, 2021 </w:t>
      </w:r>
      <w:r w:rsidRPr="003A5BB2">
        <w:rPr>
          <w:rFonts w:ascii="Arial" w:eastAsia="Times New Roman" w:hAnsi="Arial" w:cs="Arial"/>
          <w:snapToGrid w:val="0"/>
          <w:szCs w:val="24"/>
        </w:rPr>
        <w:t>(</w:t>
      </w:r>
      <w:r w:rsidR="004151A0">
        <w:rPr>
          <w:rFonts w:ascii="Arial" w:eastAsia="Times New Roman" w:hAnsi="Arial" w:cs="Arial"/>
          <w:snapToGrid w:val="0"/>
          <w:szCs w:val="24"/>
        </w:rPr>
        <w:t>60-day</w:t>
      </w:r>
      <w:r w:rsidRPr="003A5BB2">
        <w:rPr>
          <w:rFonts w:ascii="Arial" w:eastAsia="Times New Roman" w:hAnsi="Arial" w:cs="Arial"/>
          <w:snapToGrid w:val="0"/>
          <w:szCs w:val="24"/>
        </w:rPr>
        <w:t xml:space="preserve"> circulation).</w:t>
      </w:r>
    </w:p>
    <w:p w14:paraId="7186289B" w14:textId="77777777" w:rsidR="00BD7CBA" w:rsidRDefault="003A5BB2" w:rsidP="00BD7CBA">
      <w:pPr>
        <w:widowControl w:val="0"/>
        <w:tabs>
          <w:tab w:val="left" w:pos="-1368"/>
          <w:tab w:val="left" w:pos="-720"/>
          <w:tab w:val="left" w:pos="1152"/>
          <w:tab w:val="left" w:pos="2700"/>
        </w:tabs>
        <w:rPr>
          <w:rFonts w:ascii="Arial" w:eastAsia="Times New Roman" w:hAnsi="Arial" w:cs="Arial"/>
          <w:snapToGrid w:val="0"/>
          <w:szCs w:val="24"/>
        </w:rPr>
      </w:pPr>
      <w:r w:rsidRPr="003A5BB2">
        <w:rPr>
          <w:rFonts w:ascii="Arial" w:eastAsia="Times New Roman" w:hAnsi="Arial" w:cs="Arial"/>
          <w:snapToGrid w:val="0"/>
          <w:szCs w:val="24"/>
        </w:rPr>
        <w:t xml:space="preserve">Notice was also placed in </w:t>
      </w:r>
      <w:r w:rsidR="004151A0">
        <w:rPr>
          <w:rFonts w:ascii="Arial" w:eastAsia="Times New Roman" w:hAnsi="Arial" w:cs="Arial"/>
          <w:snapToGrid w:val="0"/>
          <w:szCs w:val="24"/>
        </w:rPr>
        <w:t xml:space="preserve">the Milton Champion </w:t>
      </w:r>
      <w:r w:rsidRPr="003A5BB2">
        <w:rPr>
          <w:rFonts w:ascii="Arial" w:eastAsia="Times New Roman" w:hAnsi="Arial" w:cs="Arial"/>
          <w:snapToGrid w:val="0"/>
          <w:szCs w:val="24"/>
        </w:rPr>
        <w:t xml:space="preserve">on </w:t>
      </w:r>
      <w:r w:rsidR="004151A0">
        <w:rPr>
          <w:rFonts w:ascii="Arial" w:eastAsia="Times New Roman" w:hAnsi="Arial" w:cs="Arial"/>
          <w:snapToGrid w:val="0"/>
          <w:szCs w:val="24"/>
        </w:rPr>
        <w:t>August 26, 2021</w:t>
      </w:r>
      <w:r w:rsidR="00A36CE9">
        <w:rPr>
          <w:rFonts w:ascii="Arial" w:eastAsia="Times New Roman" w:hAnsi="Arial" w:cs="Arial"/>
          <w:snapToGrid w:val="0"/>
          <w:szCs w:val="24"/>
        </w:rPr>
        <w:t>,</w:t>
      </w:r>
      <w:r w:rsidRPr="003A5BB2">
        <w:rPr>
          <w:rFonts w:ascii="Arial" w:eastAsia="Times New Roman" w:hAnsi="Arial" w:cs="Arial"/>
          <w:snapToGrid w:val="0"/>
          <w:szCs w:val="24"/>
        </w:rPr>
        <w:t xml:space="preserve"> requesting comments be submitted to the NEC by </w:t>
      </w:r>
      <w:r w:rsidR="004151A0">
        <w:rPr>
          <w:rFonts w:ascii="Arial" w:eastAsia="Times New Roman" w:hAnsi="Arial" w:cs="Arial"/>
          <w:snapToGrid w:val="0"/>
          <w:szCs w:val="24"/>
        </w:rPr>
        <w:t xml:space="preserve">October </w:t>
      </w:r>
      <w:r w:rsidR="00A36CE9">
        <w:rPr>
          <w:rFonts w:ascii="Arial" w:eastAsia="Times New Roman" w:hAnsi="Arial" w:cs="Arial"/>
          <w:snapToGrid w:val="0"/>
          <w:szCs w:val="24"/>
        </w:rPr>
        <w:t>25, 2021</w:t>
      </w:r>
      <w:r w:rsidRPr="003A5BB2">
        <w:rPr>
          <w:rFonts w:ascii="Arial" w:eastAsia="Times New Roman" w:hAnsi="Arial" w:cs="Arial"/>
          <w:snapToGrid w:val="0"/>
          <w:szCs w:val="24"/>
        </w:rPr>
        <w:t>.</w:t>
      </w:r>
    </w:p>
    <w:p w14:paraId="13D58D62" w14:textId="6F6B668C" w:rsidR="003A5BB2" w:rsidRPr="003A5BB2" w:rsidRDefault="003A5BB2" w:rsidP="00A36CE9">
      <w:pPr>
        <w:widowControl w:val="0"/>
        <w:tabs>
          <w:tab w:val="left" w:pos="-1368"/>
          <w:tab w:val="left" w:pos="-720"/>
          <w:tab w:val="left" w:pos="1152"/>
          <w:tab w:val="left" w:pos="2700"/>
        </w:tabs>
        <w:rPr>
          <w:rFonts w:ascii="Arial" w:eastAsia="Times New Roman" w:hAnsi="Arial" w:cs="Arial"/>
          <w:snapToGrid w:val="0"/>
          <w:szCs w:val="24"/>
        </w:rPr>
      </w:pPr>
      <w:r w:rsidRPr="004151A0">
        <w:rPr>
          <w:rFonts w:ascii="Arial" w:eastAsia="Times New Roman" w:hAnsi="Arial" w:cs="Arial"/>
          <w:snapToGrid w:val="0"/>
          <w:szCs w:val="24"/>
        </w:rPr>
        <w:t>The proposed amendment was posted on the Environmental Bill of Rights Registry (EBR) on</w:t>
      </w:r>
      <w:r w:rsidR="004151A0" w:rsidRPr="004151A0">
        <w:rPr>
          <w:rFonts w:ascii="Arial" w:eastAsia="Times New Roman" w:hAnsi="Arial" w:cs="Arial"/>
          <w:snapToGrid w:val="0"/>
          <w:szCs w:val="24"/>
        </w:rPr>
        <w:t xml:space="preserve"> September 24, 2021, </w:t>
      </w:r>
      <w:r w:rsidRPr="004151A0">
        <w:rPr>
          <w:rFonts w:ascii="Arial" w:eastAsia="Times New Roman" w:hAnsi="Arial" w:cs="Arial"/>
          <w:snapToGrid w:val="0"/>
          <w:szCs w:val="24"/>
        </w:rPr>
        <w:t xml:space="preserve">with a request for comments by </w:t>
      </w:r>
      <w:r w:rsidR="004151A0" w:rsidRPr="004151A0">
        <w:rPr>
          <w:rFonts w:ascii="Arial" w:eastAsia="Times New Roman" w:hAnsi="Arial" w:cs="Arial"/>
          <w:snapToGrid w:val="0"/>
          <w:szCs w:val="24"/>
        </w:rPr>
        <w:t>November 23, 2021</w:t>
      </w:r>
      <w:r w:rsidRPr="004151A0">
        <w:rPr>
          <w:rFonts w:ascii="Arial" w:eastAsia="Times New Roman" w:hAnsi="Arial" w:cs="Arial"/>
          <w:snapToGrid w:val="0"/>
          <w:szCs w:val="24"/>
        </w:rPr>
        <w:t xml:space="preserve"> (</w:t>
      </w:r>
      <w:r w:rsidR="004151A0" w:rsidRPr="004151A0">
        <w:rPr>
          <w:rFonts w:ascii="Arial" w:eastAsia="Times New Roman" w:hAnsi="Arial" w:cs="Arial"/>
          <w:snapToGrid w:val="0"/>
          <w:szCs w:val="24"/>
        </w:rPr>
        <w:t>60-</w:t>
      </w:r>
      <w:r w:rsidRPr="004151A0">
        <w:rPr>
          <w:rFonts w:ascii="Arial" w:eastAsia="Times New Roman" w:hAnsi="Arial" w:cs="Arial"/>
          <w:snapToGrid w:val="0"/>
          <w:szCs w:val="24"/>
        </w:rPr>
        <w:t xml:space="preserve">day commenting period). </w:t>
      </w:r>
      <w:r w:rsidR="004151A0" w:rsidRPr="004151A0">
        <w:rPr>
          <w:rFonts w:ascii="Arial" w:eastAsia="Times New Roman" w:hAnsi="Arial" w:cs="Arial"/>
          <w:snapToGrid w:val="0"/>
          <w:szCs w:val="24"/>
        </w:rPr>
        <w:t xml:space="preserve">One </w:t>
      </w:r>
      <w:r w:rsidRPr="004151A0">
        <w:rPr>
          <w:rFonts w:ascii="Arial" w:eastAsia="Times New Roman" w:hAnsi="Arial" w:cs="Arial"/>
          <w:snapToGrid w:val="0"/>
          <w:szCs w:val="24"/>
        </w:rPr>
        <w:t>comment w</w:t>
      </w:r>
      <w:r w:rsidR="004151A0" w:rsidRPr="004151A0">
        <w:rPr>
          <w:rFonts w:ascii="Arial" w:eastAsia="Times New Roman" w:hAnsi="Arial" w:cs="Arial"/>
          <w:snapToGrid w:val="0"/>
          <w:szCs w:val="24"/>
        </w:rPr>
        <w:t>as</w:t>
      </w:r>
      <w:r w:rsidRPr="004151A0">
        <w:rPr>
          <w:rFonts w:ascii="Arial" w:eastAsia="Times New Roman" w:hAnsi="Arial" w:cs="Arial"/>
          <w:snapToGrid w:val="0"/>
          <w:szCs w:val="24"/>
        </w:rPr>
        <w:t xml:space="preserve"> received through the Registry posting</w:t>
      </w:r>
      <w:r w:rsidR="004151A0" w:rsidRPr="004151A0">
        <w:rPr>
          <w:rFonts w:ascii="Arial" w:eastAsia="Times New Roman" w:hAnsi="Arial" w:cs="Arial"/>
          <w:snapToGrid w:val="0"/>
          <w:szCs w:val="24"/>
        </w:rPr>
        <w:t xml:space="preserve"> (d</w:t>
      </w:r>
      <w:r w:rsidR="00A36CE9">
        <w:rPr>
          <w:rFonts w:ascii="Arial" w:eastAsia="Times New Roman" w:hAnsi="Arial" w:cs="Arial"/>
          <w:snapToGrid w:val="0"/>
          <w:szCs w:val="24"/>
        </w:rPr>
        <w:t>iscussed further</w:t>
      </w:r>
      <w:r w:rsidR="004151A0" w:rsidRPr="004151A0">
        <w:rPr>
          <w:rFonts w:ascii="Arial" w:eastAsia="Times New Roman" w:hAnsi="Arial" w:cs="Arial"/>
          <w:snapToGrid w:val="0"/>
          <w:szCs w:val="24"/>
        </w:rPr>
        <w:t xml:space="preserve"> below)</w:t>
      </w:r>
      <w:r w:rsidRPr="004151A0">
        <w:rPr>
          <w:rFonts w:ascii="Arial" w:eastAsia="Times New Roman" w:hAnsi="Arial" w:cs="Arial"/>
          <w:snapToGrid w:val="0"/>
          <w:szCs w:val="24"/>
        </w:rPr>
        <w:t>.</w:t>
      </w:r>
      <w:r w:rsidRPr="003A5BB2">
        <w:rPr>
          <w:rFonts w:ascii="Arial" w:eastAsia="Times New Roman" w:hAnsi="Arial" w:cs="Arial"/>
          <w:snapToGrid w:val="0"/>
          <w:szCs w:val="24"/>
        </w:rPr>
        <w:t xml:space="preserve"> </w:t>
      </w:r>
    </w:p>
    <w:p w14:paraId="7567E6B1" w14:textId="46106154" w:rsidR="003A5BB2" w:rsidRPr="002240E1" w:rsidRDefault="003A5BB2" w:rsidP="002240E1">
      <w:pPr>
        <w:pStyle w:val="ListParagraph"/>
        <w:widowControl w:val="0"/>
        <w:numPr>
          <w:ilvl w:val="0"/>
          <w:numId w:val="26"/>
        </w:numPr>
        <w:tabs>
          <w:tab w:val="left" w:pos="-1368"/>
          <w:tab w:val="left" w:pos="-720"/>
          <w:tab w:val="left" w:pos="567"/>
          <w:tab w:val="left" w:pos="2700"/>
        </w:tabs>
        <w:spacing w:after="0" w:line="240" w:lineRule="auto"/>
        <w:ind w:hanging="720"/>
        <w:rPr>
          <w:rFonts w:ascii="Arial" w:eastAsia="Times New Roman" w:hAnsi="Arial" w:cs="Arial"/>
          <w:b/>
          <w:snapToGrid w:val="0"/>
          <w:szCs w:val="24"/>
          <w:u w:val="single"/>
        </w:rPr>
      </w:pPr>
      <w:r w:rsidRPr="002240E1">
        <w:rPr>
          <w:rFonts w:ascii="Arial" w:eastAsia="Times New Roman" w:hAnsi="Arial" w:cs="Arial"/>
          <w:b/>
          <w:snapToGrid w:val="0"/>
          <w:szCs w:val="24"/>
          <w:u w:val="single"/>
        </w:rPr>
        <w:t>Public Interest Advisory Committee</w:t>
      </w:r>
    </w:p>
    <w:p w14:paraId="2E0A01C6"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5ABA4AC7" w14:textId="159268F7" w:rsidR="00662EAF" w:rsidRDefault="00662EAF" w:rsidP="00662EAF">
      <w:pPr>
        <w:tabs>
          <w:tab w:val="left" w:pos="-90"/>
        </w:tabs>
        <w:autoSpaceDE w:val="0"/>
        <w:autoSpaceDN w:val="0"/>
        <w:adjustRightInd w:val="0"/>
        <w:rPr>
          <w:rFonts w:ascii="Arial" w:hAnsi="Arial" w:cs="Arial"/>
        </w:rPr>
      </w:pPr>
      <w:r>
        <w:rPr>
          <w:rFonts w:ascii="Arial" w:hAnsi="Arial" w:cs="Arial"/>
        </w:rPr>
        <w:t xml:space="preserve">The Public Interest Advisory Committee (PIAC) is established by the Minister pursuant to S. 4(1) of the </w:t>
      </w:r>
      <w:r w:rsidRPr="00697833">
        <w:rPr>
          <w:rFonts w:ascii="Arial" w:hAnsi="Arial" w:cs="Arial"/>
        </w:rPr>
        <w:t>NEPDA</w:t>
      </w:r>
      <w:r w:rsidRPr="00B72A24">
        <w:rPr>
          <w:rFonts w:ascii="Arial" w:hAnsi="Arial" w:cs="Arial"/>
          <w:i/>
          <w:iCs/>
        </w:rPr>
        <w:t>.</w:t>
      </w:r>
      <w:r>
        <w:rPr>
          <w:rFonts w:ascii="Arial" w:hAnsi="Arial" w:cs="Arial"/>
        </w:rPr>
        <w:t xml:space="preserve">  PIAC is an appointed advisory body of persons that the Minister determines are broadly representative of the people and interests in the Niagara Escarpment Planning Area, in order to make recommendations to the NEC and the Minister on amendments proposed to the NEP. The PIAC is specifically required to be consulted by the NEC, and to make comments on proposed amendments under S. 10(1) of the NEPDA. These comments then form part of the recommendations that must be considered by the NEC, Hearing Officers (if the matter is referred to a Hearing), and the Minister when a decision is being made. </w:t>
      </w:r>
    </w:p>
    <w:p w14:paraId="50F2E1DE" w14:textId="7E1893AC" w:rsidR="003A5BB2" w:rsidRPr="00B44B0E" w:rsidRDefault="003A5BB2" w:rsidP="00A36CE9">
      <w:pPr>
        <w:widowControl w:val="0"/>
        <w:tabs>
          <w:tab w:val="left" w:pos="-1368"/>
          <w:tab w:val="left" w:pos="-720"/>
          <w:tab w:val="left" w:pos="1152"/>
          <w:tab w:val="left" w:pos="2700"/>
        </w:tabs>
        <w:rPr>
          <w:rFonts w:ascii="Arial" w:eastAsia="Times New Roman" w:hAnsi="Arial" w:cs="Arial"/>
          <w:snapToGrid w:val="0"/>
          <w:szCs w:val="24"/>
        </w:rPr>
      </w:pPr>
      <w:r w:rsidRPr="00B44B0E">
        <w:rPr>
          <w:rFonts w:ascii="Arial" w:eastAsia="Times New Roman" w:hAnsi="Arial" w:cs="Arial"/>
          <w:snapToGrid w:val="0"/>
          <w:szCs w:val="24"/>
        </w:rPr>
        <w:t xml:space="preserve">The PIAC convened a teleconference meeting on </w:t>
      </w:r>
      <w:r w:rsidR="004151A0" w:rsidRPr="00B44B0E">
        <w:rPr>
          <w:rFonts w:ascii="Arial" w:eastAsia="Times New Roman" w:hAnsi="Arial" w:cs="Arial"/>
          <w:snapToGrid w:val="0"/>
          <w:szCs w:val="24"/>
        </w:rPr>
        <w:t>March 29, 2022</w:t>
      </w:r>
      <w:r w:rsidR="00B44B0E" w:rsidRPr="00B44B0E">
        <w:rPr>
          <w:rFonts w:ascii="Arial" w:eastAsia="Times New Roman" w:hAnsi="Arial" w:cs="Arial"/>
          <w:snapToGrid w:val="0"/>
          <w:szCs w:val="24"/>
        </w:rPr>
        <w:t>,</w:t>
      </w:r>
      <w:r w:rsidRPr="00B44B0E">
        <w:rPr>
          <w:rFonts w:ascii="Arial" w:eastAsia="Times New Roman" w:hAnsi="Arial" w:cs="Arial"/>
          <w:snapToGrid w:val="0"/>
          <w:szCs w:val="24"/>
        </w:rPr>
        <w:t xml:space="preserve"> where the proposed </w:t>
      </w:r>
      <w:r w:rsidR="00662EAF">
        <w:rPr>
          <w:rFonts w:ascii="Arial" w:eastAsia="Times New Roman" w:hAnsi="Arial" w:cs="Arial"/>
          <w:snapToGrid w:val="0"/>
          <w:szCs w:val="24"/>
        </w:rPr>
        <w:t>a</w:t>
      </w:r>
      <w:r w:rsidRPr="00B44B0E">
        <w:rPr>
          <w:rFonts w:ascii="Arial" w:eastAsia="Times New Roman" w:hAnsi="Arial" w:cs="Arial"/>
          <w:snapToGrid w:val="0"/>
          <w:szCs w:val="24"/>
        </w:rPr>
        <w:t>mendment was presented by NEC staff and discussed by the PIAC members. The motion of the PIAC was as follows:</w:t>
      </w:r>
    </w:p>
    <w:p w14:paraId="14A213DD" w14:textId="7247ACDD" w:rsidR="003A5BB2" w:rsidRPr="00B44B0E" w:rsidRDefault="003A5BB2" w:rsidP="00A36CE9">
      <w:pPr>
        <w:autoSpaceDE w:val="0"/>
        <w:autoSpaceDN w:val="0"/>
        <w:rPr>
          <w:rFonts w:ascii="Arial" w:eastAsia="Times New Roman" w:hAnsi="Arial" w:cs="Arial"/>
          <w:color w:val="000000"/>
          <w:szCs w:val="24"/>
          <w:shd w:val="clear" w:color="auto" w:fill="FFFFFF"/>
        </w:rPr>
      </w:pPr>
      <w:r w:rsidRPr="00B44B0E">
        <w:rPr>
          <w:rFonts w:ascii="Arial" w:eastAsia="Times New Roman" w:hAnsi="Arial" w:cs="Arial"/>
          <w:i/>
          <w:iCs/>
          <w:color w:val="000000"/>
          <w:szCs w:val="24"/>
          <w:shd w:val="clear" w:color="auto" w:fill="FFFFFF"/>
        </w:rPr>
        <w:t xml:space="preserve">That the PIAC </w:t>
      </w:r>
      <w:r w:rsidR="00E20AC6">
        <w:rPr>
          <w:rFonts w:ascii="Arial" w:eastAsia="Times New Roman" w:hAnsi="Arial" w:cs="Arial"/>
          <w:i/>
          <w:iCs/>
          <w:color w:val="000000"/>
          <w:szCs w:val="24"/>
          <w:shd w:val="clear" w:color="auto" w:fill="FFFFFF"/>
        </w:rPr>
        <w:t>recommends</w:t>
      </w:r>
      <w:r w:rsidR="00A36CE9">
        <w:rPr>
          <w:rFonts w:ascii="Arial" w:eastAsia="Times New Roman" w:hAnsi="Arial" w:cs="Arial"/>
          <w:i/>
          <w:iCs/>
          <w:color w:val="000000"/>
          <w:szCs w:val="24"/>
          <w:shd w:val="clear" w:color="auto" w:fill="FFFFFF"/>
        </w:rPr>
        <w:t xml:space="preserve"> </w:t>
      </w:r>
      <w:r w:rsidRPr="00B44B0E">
        <w:rPr>
          <w:rFonts w:ascii="Arial" w:eastAsia="Times New Roman" w:hAnsi="Arial" w:cs="Arial"/>
          <w:i/>
          <w:iCs/>
          <w:color w:val="000000"/>
          <w:szCs w:val="24"/>
          <w:shd w:val="clear" w:color="auto" w:fill="FFFFFF"/>
        </w:rPr>
        <w:t>support</w:t>
      </w:r>
      <w:r w:rsidR="00A36CE9">
        <w:rPr>
          <w:rFonts w:ascii="Arial" w:eastAsia="Times New Roman" w:hAnsi="Arial" w:cs="Arial"/>
          <w:i/>
          <w:iCs/>
          <w:color w:val="000000"/>
          <w:szCs w:val="24"/>
          <w:shd w:val="clear" w:color="auto" w:fill="FFFFFF"/>
        </w:rPr>
        <w:t xml:space="preserve"> for</w:t>
      </w:r>
      <w:r w:rsidRPr="00B44B0E">
        <w:rPr>
          <w:rFonts w:ascii="Arial" w:eastAsia="Times New Roman" w:hAnsi="Arial" w:cs="Arial"/>
          <w:i/>
          <w:iCs/>
          <w:color w:val="000000"/>
          <w:szCs w:val="24"/>
          <w:shd w:val="clear" w:color="auto" w:fill="FFFFFF"/>
        </w:rPr>
        <w:t xml:space="preserve"> proposed Amendment </w:t>
      </w:r>
      <w:r w:rsidR="00C2575E" w:rsidRPr="00B44B0E">
        <w:rPr>
          <w:rFonts w:ascii="Arial" w:eastAsia="Times New Roman" w:hAnsi="Arial" w:cs="Arial"/>
          <w:i/>
          <w:iCs/>
          <w:color w:val="000000"/>
          <w:szCs w:val="24"/>
          <w:shd w:val="clear" w:color="auto" w:fill="FFFFFF"/>
        </w:rPr>
        <w:t>PH 221 21</w:t>
      </w:r>
    </w:p>
    <w:p w14:paraId="1B295D8B" w14:textId="77777777" w:rsidR="002240E1" w:rsidRDefault="003A5BB2" w:rsidP="002240E1">
      <w:pPr>
        <w:widowControl w:val="0"/>
        <w:tabs>
          <w:tab w:val="left" w:pos="-1368"/>
          <w:tab w:val="left" w:pos="-720"/>
          <w:tab w:val="left" w:pos="1152"/>
          <w:tab w:val="left" w:pos="2700"/>
        </w:tabs>
        <w:rPr>
          <w:rFonts w:ascii="Arial" w:eastAsia="Times New Roman" w:hAnsi="Arial" w:cs="Arial"/>
          <w:snapToGrid w:val="0"/>
          <w:szCs w:val="24"/>
        </w:rPr>
      </w:pPr>
      <w:r w:rsidRPr="00B44B0E">
        <w:rPr>
          <w:rFonts w:ascii="Arial" w:eastAsia="Times New Roman" w:hAnsi="Arial" w:cs="Arial"/>
          <w:snapToGrid w:val="0"/>
          <w:szCs w:val="24"/>
        </w:rPr>
        <w:t>The motion passed</w:t>
      </w:r>
      <w:r w:rsidR="0095786E">
        <w:rPr>
          <w:rFonts w:ascii="Arial" w:eastAsia="Times New Roman" w:hAnsi="Arial" w:cs="Arial"/>
          <w:snapToGrid w:val="0"/>
          <w:szCs w:val="24"/>
        </w:rPr>
        <w:t>, a</w:t>
      </w:r>
      <w:r w:rsidR="00C2575E" w:rsidRPr="00B44B0E">
        <w:rPr>
          <w:rFonts w:ascii="Arial" w:eastAsia="Times New Roman" w:hAnsi="Arial" w:cs="Arial"/>
          <w:snapToGrid w:val="0"/>
          <w:szCs w:val="24"/>
        </w:rPr>
        <w:t>ll in favor.</w:t>
      </w:r>
    </w:p>
    <w:p w14:paraId="732B3BA1" w14:textId="7CB8A3D5" w:rsidR="003A5BB2" w:rsidRPr="002240E1" w:rsidRDefault="003A5BB2" w:rsidP="002240E1">
      <w:pPr>
        <w:pStyle w:val="ListParagraph"/>
        <w:widowControl w:val="0"/>
        <w:numPr>
          <w:ilvl w:val="0"/>
          <w:numId w:val="26"/>
        </w:numPr>
        <w:tabs>
          <w:tab w:val="left" w:pos="-1368"/>
          <w:tab w:val="left" w:pos="-720"/>
          <w:tab w:val="left" w:pos="1152"/>
          <w:tab w:val="left" w:pos="2700"/>
        </w:tabs>
        <w:ind w:left="567" w:hanging="567"/>
        <w:rPr>
          <w:rFonts w:ascii="Arial" w:eastAsia="Times New Roman" w:hAnsi="Arial" w:cs="Arial"/>
          <w:snapToGrid w:val="0"/>
          <w:szCs w:val="24"/>
        </w:rPr>
      </w:pPr>
      <w:r w:rsidRPr="002240E1">
        <w:rPr>
          <w:rFonts w:ascii="Arial" w:eastAsia="Times New Roman" w:hAnsi="Arial" w:cs="Arial"/>
          <w:b/>
          <w:snapToGrid w:val="0"/>
          <w:szCs w:val="24"/>
          <w:u w:val="single"/>
        </w:rPr>
        <w:lastRenderedPageBreak/>
        <w:t>Agency / Public Circulation</w:t>
      </w:r>
      <w:r w:rsidR="00BD7CBA" w:rsidRPr="002240E1">
        <w:rPr>
          <w:rFonts w:ascii="Arial" w:eastAsia="Times New Roman" w:hAnsi="Arial" w:cs="Arial"/>
          <w:b/>
          <w:snapToGrid w:val="0"/>
          <w:szCs w:val="24"/>
          <w:u w:val="single"/>
        </w:rPr>
        <w:t xml:space="preserve"> Comments </w:t>
      </w:r>
      <w:r w:rsidR="0095786E" w:rsidRPr="002240E1">
        <w:rPr>
          <w:rFonts w:ascii="Arial" w:eastAsia="Times New Roman" w:hAnsi="Arial" w:cs="Arial"/>
          <w:b/>
          <w:snapToGrid w:val="0"/>
          <w:szCs w:val="24"/>
          <w:u w:val="single"/>
        </w:rPr>
        <w:t>Received</w:t>
      </w:r>
      <w:r w:rsidRPr="002240E1">
        <w:rPr>
          <w:rFonts w:ascii="Arial" w:eastAsia="Times New Roman" w:hAnsi="Arial" w:cs="Arial"/>
          <w:b/>
          <w:snapToGrid w:val="0"/>
          <w:szCs w:val="24"/>
          <w:u w:val="single"/>
        </w:rPr>
        <w:t>:</w:t>
      </w:r>
    </w:p>
    <w:p w14:paraId="5A8EBAEC" w14:textId="2B2573B4" w:rsidR="003A5BB2" w:rsidRPr="003A5BB2" w:rsidRDefault="003A5BB2" w:rsidP="00A36CE9">
      <w:pPr>
        <w:widowControl w:val="0"/>
        <w:tabs>
          <w:tab w:val="left" w:pos="-1368"/>
          <w:tab w:val="left" w:pos="-720"/>
          <w:tab w:val="left" w:pos="1152"/>
          <w:tab w:val="left" w:pos="2700"/>
        </w:tabs>
        <w:rPr>
          <w:rFonts w:ascii="Arial" w:eastAsia="Times New Roman" w:hAnsi="Arial" w:cs="Arial"/>
          <w:snapToGrid w:val="0"/>
          <w:szCs w:val="24"/>
        </w:rPr>
      </w:pPr>
      <w:r w:rsidRPr="003A5BB2">
        <w:rPr>
          <w:rFonts w:ascii="Arial" w:eastAsia="Times New Roman" w:hAnsi="Arial" w:cs="Arial"/>
          <w:snapToGrid w:val="0"/>
          <w:szCs w:val="24"/>
        </w:rPr>
        <w:t xml:space="preserve">The following summary of comments and recommendations </w:t>
      </w:r>
      <w:r w:rsidR="00C2575E">
        <w:rPr>
          <w:rFonts w:ascii="Arial" w:eastAsia="Times New Roman" w:hAnsi="Arial" w:cs="Arial"/>
          <w:snapToGrid w:val="0"/>
          <w:szCs w:val="24"/>
        </w:rPr>
        <w:t>was</w:t>
      </w:r>
      <w:r w:rsidRPr="003A5BB2">
        <w:rPr>
          <w:rFonts w:ascii="Arial" w:eastAsia="Times New Roman" w:hAnsi="Arial" w:cs="Arial"/>
          <w:snapToGrid w:val="0"/>
          <w:szCs w:val="24"/>
        </w:rPr>
        <w:t xml:space="preserve"> received on the circulation and consultation of the proposal:</w:t>
      </w:r>
    </w:p>
    <w:p w14:paraId="65C24096" w14:textId="4F85583C"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r w:rsidRPr="003A5BB2">
        <w:rPr>
          <w:rFonts w:ascii="Arial" w:eastAsia="Times New Roman" w:hAnsi="Arial" w:cs="Arial"/>
          <w:b/>
          <w:snapToGrid w:val="0"/>
          <w:szCs w:val="24"/>
          <w:u w:val="single"/>
        </w:rPr>
        <w:t>Ministries</w:t>
      </w:r>
    </w:p>
    <w:p w14:paraId="4996CBAA" w14:textId="77777777" w:rsidR="000C67C4" w:rsidRDefault="000C67C4"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p>
    <w:p w14:paraId="683AFCAF" w14:textId="4D985953" w:rsidR="00754B82" w:rsidRDefault="00754B82" w:rsidP="00754B82">
      <w:pPr>
        <w:rPr>
          <w:rFonts w:cstheme="minorHAnsi"/>
          <w:szCs w:val="24"/>
        </w:rPr>
      </w:pPr>
      <w:r w:rsidRPr="00662EAF">
        <w:rPr>
          <w:rFonts w:cstheme="minorHAnsi"/>
          <w:b/>
          <w:bCs/>
          <w:szCs w:val="24"/>
        </w:rPr>
        <w:t>Ministry of Transportation:</w:t>
      </w:r>
      <w:r>
        <w:rPr>
          <w:rFonts w:cstheme="minorHAnsi"/>
          <w:szCs w:val="24"/>
        </w:rPr>
        <w:t xml:space="preserve"> </w:t>
      </w:r>
      <w:r w:rsidRPr="00EF4323">
        <w:rPr>
          <w:rFonts w:cstheme="minorHAnsi"/>
          <w:szCs w:val="24"/>
        </w:rPr>
        <w:t>no comments received.</w:t>
      </w:r>
      <w:r>
        <w:rPr>
          <w:rFonts w:cstheme="minorHAnsi"/>
          <w:szCs w:val="24"/>
        </w:rPr>
        <w:t xml:space="preserve"> </w:t>
      </w:r>
    </w:p>
    <w:p w14:paraId="447DF8FB" w14:textId="793ECAE2" w:rsidR="00EF4323" w:rsidRDefault="00EF4323" w:rsidP="00153A5A">
      <w:pPr>
        <w:rPr>
          <w:rFonts w:ascii="Arial" w:hAnsi="Arial" w:cs="Arial"/>
          <w:color w:val="44546A"/>
          <w:szCs w:val="24"/>
        </w:rPr>
      </w:pPr>
      <w:r w:rsidRPr="00EF4323">
        <w:rPr>
          <w:rFonts w:cstheme="minorHAnsi"/>
          <w:i/>
          <w:iCs/>
          <w:szCs w:val="24"/>
        </w:rPr>
        <w:t xml:space="preserve">Staff comment: </w:t>
      </w:r>
      <w:r>
        <w:rPr>
          <w:rFonts w:cstheme="minorHAnsi"/>
          <w:szCs w:val="24"/>
        </w:rPr>
        <w:t xml:space="preserve">Although no MTO comments were received for PH 221 21, MTO did submit comments on related proposed amendment PH 222 21 (3475 Campbellville), and staff </w:t>
      </w:r>
      <w:r w:rsidR="00153A5A">
        <w:rPr>
          <w:rFonts w:cstheme="minorHAnsi"/>
          <w:szCs w:val="24"/>
        </w:rPr>
        <w:t>assumes that</w:t>
      </w:r>
      <w:r>
        <w:rPr>
          <w:rFonts w:cstheme="minorHAnsi"/>
          <w:szCs w:val="24"/>
        </w:rPr>
        <w:t xml:space="preserve"> given the proximity of the subject lands that these comments are relevant to PH 221 21 (4000 Campbellville). MTO identifies that t</w:t>
      </w:r>
      <w:r w:rsidRPr="00EF4323">
        <w:rPr>
          <w:rFonts w:ascii="Arial" w:hAnsi="Arial" w:cs="Arial"/>
          <w:color w:val="000000" w:themeColor="text1"/>
          <w:szCs w:val="24"/>
        </w:rPr>
        <w:t>he subject land is located within the Ministry’s permit control area and any development of this land requires ministry review and approval.</w:t>
      </w:r>
      <w:r w:rsidR="00153A5A">
        <w:rPr>
          <w:rFonts w:ascii="Arial" w:hAnsi="Arial" w:cs="Arial"/>
          <w:color w:val="000000" w:themeColor="text1"/>
          <w:szCs w:val="24"/>
        </w:rPr>
        <w:t xml:space="preserve"> NEC staff notes that the amendment is for land use re-designation only, and there is no development proposed at this time. Future Development Permit Applications will be circulated to the MTO, as appropriate.</w:t>
      </w:r>
    </w:p>
    <w:p w14:paraId="7BAC40DB" w14:textId="26905C9F" w:rsidR="000C67C4" w:rsidRPr="000C67C4" w:rsidRDefault="000C67C4" w:rsidP="000C67C4">
      <w:pPr>
        <w:rPr>
          <w:rFonts w:cstheme="minorHAnsi"/>
          <w:color w:val="000000" w:themeColor="text1"/>
          <w:szCs w:val="24"/>
          <w:lang w:eastAsia="en-CA"/>
        </w:rPr>
      </w:pPr>
      <w:r w:rsidRPr="000C67C4">
        <w:rPr>
          <w:rFonts w:cstheme="minorHAnsi"/>
          <w:b/>
          <w:bCs/>
          <w:color w:val="000000" w:themeColor="text1"/>
          <w:szCs w:val="24"/>
          <w:lang w:val="en-US" w:eastAsia="en-CA"/>
        </w:rPr>
        <w:t>Ministry of Natural Resources and Forestry</w:t>
      </w:r>
      <w:r w:rsidRPr="000C67C4">
        <w:rPr>
          <w:rFonts w:cstheme="minorHAnsi"/>
          <w:color w:val="000000" w:themeColor="text1"/>
          <w:szCs w:val="24"/>
          <w:lang w:val="en-US" w:eastAsia="en-CA"/>
        </w:rPr>
        <w:t xml:space="preserve"> </w:t>
      </w:r>
      <w:r>
        <w:rPr>
          <w:rFonts w:cstheme="minorHAnsi"/>
          <w:color w:val="000000" w:themeColor="text1"/>
          <w:szCs w:val="24"/>
          <w:lang w:val="en-US" w:eastAsia="en-CA"/>
        </w:rPr>
        <w:t>(</w:t>
      </w:r>
      <w:r w:rsidRPr="000C67C4">
        <w:rPr>
          <w:rFonts w:cstheme="minorHAnsi"/>
          <w:color w:val="000000" w:themeColor="text1"/>
          <w:szCs w:val="24"/>
          <w:lang w:val="en-US" w:eastAsia="en-CA"/>
        </w:rPr>
        <w:t xml:space="preserve">Land Use Planning and Strategic Issues Section, </w:t>
      </w:r>
      <w:r w:rsidRPr="000C67C4">
        <w:rPr>
          <w:rFonts w:cstheme="minorHAnsi"/>
          <w:color w:val="000000" w:themeColor="text1"/>
          <w:szCs w:val="24"/>
          <w:lang w:eastAsia="en-CA"/>
        </w:rPr>
        <w:t>Southern Region</w:t>
      </w:r>
      <w:r>
        <w:rPr>
          <w:rFonts w:cstheme="minorHAnsi"/>
          <w:color w:val="000000" w:themeColor="text1"/>
          <w:szCs w:val="24"/>
          <w:lang w:eastAsia="en-CA"/>
        </w:rPr>
        <w:t>)</w:t>
      </w:r>
    </w:p>
    <w:p w14:paraId="5E41AC63" w14:textId="590D55F6" w:rsidR="003535BF" w:rsidRDefault="00946953" w:rsidP="003535BF">
      <w:pPr>
        <w:rPr>
          <w:rFonts w:cstheme="minorHAnsi"/>
          <w:szCs w:val="24"/>
        </w:rPr>
      </w:pPr>
      <w:r w:rsidRPr="000C67C4">
        <w:rPr>
          <w:rFonts w:cstheme="minorHAnsi"/>
          <w:szCs w:val="24"/>
        </w:rPr>
        <w:t xml:space="preserve">Based on </w:t>
      </w:r>
      <w:r w:rsidR="00EF4323">
        <w:rPr>
          <w:rFonts w:cstheme="minorHAnsi"/>
          <w:szCs w:val="24"/>
        </w:rPr>
        <w:t xml:space="preserve">the </w:t>
      </w:r>
      <w:r w:rsidR="008B3DC4">
        <w:rPr>
          <w:rFonts w:cstheme="minorHAnsi"/>
          <w:szCs w:val="24"/>
        </w:rPr>
        <w:t xml:space="preserve">MNRF </w:t>
      </w:r>
      <w:r w:rsidRPr="000C67C4">
        <w:rPr>
          <w:rFonts w:cstheme="minorHAnsi"/>
          <w:szCs w:val="24"/>
        </w:rPr>
        <w:t xml:space="preserve">review of the proposal, </w:t>
      </w:r>
      <w:r w:rsidR="002240E1">
        <w:rPr>
          <w:rFonts w:cstheme="minorHAnsi"/>
          <w:szCs w:val="24"/>
        </w:rPr>
        <w:t>MNRF</w:t>
      </w:r>
      <w:r w:rsidRPr="000C67C4">
        <w:rPr>
          <w:rFonts w:cstheme="minorHAnsi"/>
          <w:szCs w:val="24"/>
        </w:rPr>
        <w:t xml:space="preserve"> confirm</w:t>
      </w:r>
      <w:r w:rsidR="002240E1">
        <w:rPr>
          <w:rFonts w:cstheme="minorHAnsi"/>
          <w:szCs w:val="24"/>
        </w:rPr>
        <w:t>ed</w:t>
      </w:r>
      <w:r w:rsidRPr="000C67C4">
        <w:rPr>
          <w:rFonts w:cstheme="minorHAnsi"/>
          <w:szCs w:val="24"/>
        </w:rPr>
        <w:t xml:space="preserve"> </w:t>
      </w:r>
      <w:r w:rsidR="0095786E">
        <w:rPr>
          <w:rFonts w:cstheme="minorHAnsi"/>
          <w:szCs w:val="24"/>
        </w:rPr>
        <w:t>that</w:t>
      </w:r>
      <w:r w:rsidRPr="000C67C4">
        <w:rPr>
          <w:rFonts w:cstheme="minorHAnsi"/>
          <w:szCs w:val="24"/>
        </w:rPr>
        <w:t xml:space="preserve"> licence</w:t>
      </w:r>
      <w:r w:rsidR="000C67C4">
        <w:rPr>
          <w:rFonts w:cstheme="minorHAnsi"/>
          <w:szCs w:val="24"/>
        </w:rPr>
        <w:t xml:space="preserve"> </w:t>
      </w:r>
      <w:r w:rsidRPr="000C67C4">
        <w:rPr>
          <w:rFonts w:cstheme="minorHAnsi"/>
          <w:szCs w:val="24"/>
        </w:rPr>
        <w:t xml:space="preserve"># 5478 issued under the </w:t>
      </w:r>
      <w:r w:rsidRPr="000C67C4">
        <w:rPr>
          <w:rFonts w:cstheme="minorHAnsi"/>
          <w:i/>
          <w:iCs/>
          <w:szCs w:val="24"/>
        </w:rPr>
        <w:t>Aggregates Resource Act</w:t>
      </w:r>
      <w:r w:rsidRPr="000C67C4">
        <w:rPr>
          <w:rFonts w:cstheme="minorHAnsi"/>
          <w:szCs w:val="24"/>
        </w:rPr>
        <w:t xml:space="preserve"> for these lands </w:t>
      </w:r>
      <w:r w:rsidR="000C67C4">
        <w:rPr>
          <w:rFonts w:cstheme="minorHAnsi"/>
          <w:szCs w:val="24"/>
        </w:rPr>
        <w:t>has</w:t>
      </w:r>
      <w:r w:rsidRPr="000C67C4">
        <w:rPr>
          <w:rFonts w:cstheme="minorHAnsi"/>
          <w:szCs w:val="24"/>
        </w:rPr>
        <w:t xml:space="preserve"> been surrendered. While no longer licensed, surrender </w:t>
      </w:r>
      <w:r w:rsidR="000C67C4">
        <w:rPr>
          <w:rFonts w:cstheme="minorHAnsi"/>
          <w:szCs w:val="24"/>
        </w:rPr>
        <w:t xml:space="preserve">(of the licence), </w:t>
      </w:r>
      <w:r w:rsidRPr="000C67C4">
        <w:rPr>
          <w:rFonts w:cstheme="minorHAnsi"/>
          <w:szCs w:val="24"/>
        </w:rPr>
        <w:t xml:space="preserve">does not necessarily mean </w:t>
      </w:r>
      <w:r w:rsidR="000C67C4">
        <w:rPr>
          <w:rFonts w:cstheme="minorHAnsi"/>
          <w:szCs w:val="24"/>
        </w:rPr>
        <w:t xml:space="preserve">that </w:t>
      </w:r>
      <w:r w:rsidRPr="000C67C4">
        <w:rPr>
          <w:rFonts w:cstheme="minorHAnsi"/>
          <w:szCs w:val="24"/>
        </w:rPr>
        <w:t>the resource is depleted. As such there may be aggregate deposits remaining on these lands. The most up-to-date information we have available to us is the Aggregate Resources Inventory Paper 47 (1982)</w:t>
      </w:r>
      <w:r w:rsidR="000C67C4">
        <w:rPr>
          <w:rFonts w:cstheme="minorHAnsi"/>
          <w:szCs w:val="24"/>
        </w:rPr>
        <w:t>,</w:t>
      </w:r>
      <w:r w:rsidRPr="000C67C4">
        <w:rPr>
          <w:rFonts w:cstheme="minorHAnsi"/>
          <w:szCs w:val="24"/>
        </w:rPr>
        <w:t xml:space="preserve"> for the Town of Milton which identifies this area as being within an area of sand and gravel deposit of primary significance. NEC may wish to request further information on </w:t>
      </w:r>
      <w:r w:rsidR="000C67C4">
        <w:rPr>
          <w:rFonts w:cstheme="minorHAnsi"/>
          <w:szCs w:val="24"/>
        </w:rPr>
        <w:t xml:space="preserve">the </w:t>
      </w:r>
      <w:r w:rsidRPr="000C67C4">
        <w:rPr>
          <w:rFonts w:cstheme="minorHAnsi"/>
          <w:szCs w:val="24"/>
        </w:rPr>
        <w:t xml:space="preserve">current state of the aggregate deposit on site prior to </w:t>
      </w:r>
      <w:r w:rsidR="0095786E">
        <w:rPr>
          <w:rFonts w:cstheme="minorHAnsi"/>
          <w:szCs w:val="24"/>
        </w:rPr>
        <w:t>deciding</w:t>
      </w:r>
      <w:r w:rsidRPr="000C67C4">
        <w:rPr>
          <w:rFonts w:cstheme="minorHAnsi"/>
          <w:szCs w:val="24"/>
        </w:rPr>
        <w:t xml:space="preserve"> on the amendment.</w:t>
      </w:r>
    </w:p>
    <w:p w14:paraId="3C43DD7D" w14:textId="76961733" w:rsidR="0019513F" w:rsidRPr="009E2115" w:rsidRDefault="00146880" w:rsidP="003535BF">
      <w:pPr>
        <w:rPr>
          <w:rFonts w:cstheme="minorHAnsi"/>
          <w:i/>
          <w:iCs/>
          <w:szCs w:val="24"/>
          <w:u w:val="single"/>
        </w:rPr>
      </w:pPr>
      <w:r w:rsidRPr="00BD7CBA">
        <w:rPr>
          <w:rFonts w:cstheme="minorHAnsi"/>
          <w:i/>
          <w:iCs/>
          <w:szCs w:val="24"/>
          <w:u w:val="single"/>
        </w:rPr>
        <w:t>Staff comment:</w:t>
      </w:r>
      <w:r w:rsidRPr="009E2115">
        <w:rPr>
          <w:rFonts w:cstheme="minorHAnsi"/>
          <w:i/>
          <w:iCs/>
          <w:szCs w:val="24"/>
        </w:rPr>
        <w:t xml:space="preserve"> </w:t>
      </w:r>
      <w:r w:rsidR="009E2115" w:rsidRPr="009E2115">
        <w:rPr>
          <w:rFonts w:cstheme="minorHAnsi"/>
          <w:i/>
          <w:iCs/>
          <w:szCs w:val="24"/>
        </w:rPr>
        <w:t xml:space="preserve"> </w:t>
      </w:r>
      <w:r w:rsidR="0019513F">
        <w:rPr>
          <w:rFonts w:cstheme="minorHAnsi"/>
          <w:szCs w:val="24"/>
        </w:rPr>
        <w:t xml:space="preserve">Staff followed up with MNRF staff to seek clarification on the comments received. MRNF staff provided that the intent was to clarify that generally speaking, a surrender of an ARA licence does not necessarily mean the resource is depleted. </w:t>
      </w:r>
    </w:p>
    <w:p w14:paraId="69C30346" w14:textId="2024BBC3" w:rsidR="00EF0A2D" w:rsidRPr="00EF0A2D" w:rsidRDefault="00EF0A2D" w:rsidP="003535BF">
      <w:pPr>
        <w:rPr>
          <w:rFonts w:cstheme="minorHAnsi"/>
          <w:szCs w:val="24"/>
        </w:rPr>
      </w:pPr>
      <w:r>
        <w:rPr>
          <w:rFonts w:cstheme="minorHAnsi"/>
          <w:szCs w:val="24"/>
        </w:rPr>
        <w:t xml:space="preserve">Staff </w:t>
      </w:r>
      <w:r w:rsidR="008A7173">
        <w:rPr>
          <w:rFonts w:cstheme="minorHAnsi"/>
          <w:szCs w:val="24"/>
        </w:rPr>
        <w:t>has</w:t>
      </w:r>
      <w:r>
        <w:rPr>
          <w:rFonts w:cstheme="minorHAnsi"/>
          <w:szCs w:val="24"/>
        </w:rPr>
        <w:t xml:space="preserve"> reviewed the </w:t>
      </w:r>
      <w:r w:rsidR="008A7173">
        <w:rPr>
          <w:rFonts w:cstheme="minorHAnsi"/>
          <w:szCs w:val="24"/>
        </w:rPr>
        <w:t xml:space="preserve">Aggregate Resources Inventory Paper 47 (1982). While the </w:t>
      </w:r>
      <w:r w:rsidR="00754B82">
        <w:rPr>
          <w:rFonts w:cstheme="minorHAnsi"/>
          <w:szCs w:val="24"/>
        </w:rPr>
        <w:t xml:space="preserve">general </w:t>
      </w:r>
      <w:r w:rsidR="008A7173">
        <w:rPr>
          <w:rFonts w:cstheme="minorHAnsi"/>
          <w:szCs w:val="24"/>
        </w:rPr>
        <w:t>area is identified as being within an area of sand and gravel deposit of primary significance, the paper also notes that s</w:t>
      </w:r>
      <w:r w:rsidR="008A7173">
        <w:t xml:space="preserve">elected resource areas are not intended to be permanent, single land use units </w:t>
      </w:r>
      <w:r w:rsidR="00433D24">
        <w:t>that</w:t>
      </w:r>
      <w:r w:rsidR="008A7173">
        <w:t xml:space="preserve"> must be incorporated in an official planning document</w:t>
      </w:r>
      <w:r w:rsidR="00433D24">
        <w:t>, but rather they</w:t>
      </w:r>
      <w:r w:rsidR="008A7173">
        <w:t xml:space="preserve"> </w:t>
      </w:r>
      <w:r w:rsidR="00433D24">
        <w:t xml:space="preserve">represent </w:t>
      </w:r>
      <w:r w:rsidR="008A7173">
        <w:t>areas in which a major resource is known to exist. Such Resource Areas may be reserved wholly or partially for extractive development and/or resource protection within the context of the official plan.</w:t>
      </w:r>
      <w:r w:rsidR="00433D24">
        <w:t xml:space="preserve"> </w:t>
      </w:r>
    </w:p>
    <w:p w14:paraId="47902230" w14:textId="6A692E24" w:rsidR="003535BF" w:rsidRPr="003535BF" w:rsidRDefault="00433D24" w:rsidP="003535BF">
      <w:pPr>
        <w:rPr>
          <w:rFonts w:cstheme="minorHAnsi"/>
          <w:szCs w:val="24"/>
        </w:rPr>
      </w:pPr>
      <w:r>
        <w:rPr>
          <w:rFonts w:cstheme="minorHAnsi"/>
          <w:szCs w:val="24"/>
        </w:rPr>
        <w:lastRenderedPageBreak/>
        <w:t>This also mu</w:t>
      </w:r>
      <w:r w:rsidR="001D7C99">
        <w:rPr>
          <w:rFonts w:cstheme="minorHAnsi"/>
          <w:szCs w:val="24"/>
        </w:rPr>
        <w:t>st</w:t>
      </w:r>
      <w:r>
        <w:rPr>
          <w:rFonts w:cstheme="minorHAnsi"/>
          <w:szCs w:val="24"/>
        </w:rPr>
        <w:t xml:space="preserve"> be considered in the context of the provincial land use plan. </w:t>
      </w:r>
      <w:r w:rsidR="00EF0A2D" w:rsidRPr="00EF0A2D">
        <w:rPr>
          <w:rFonts w:cstheme="minorHAnsi"/>
          <w:szCs w:val="24"/>
        </w:rPr>
        <w:t xml:space="preserve">The </w:t>
      </w:r>
      <w:r w:rsidR="00E20C22" w:rsidRPr="00EF0A2D">
        <w:rPr>
          <w:rFonts w:cstheme="minorHAnsi"/>
          <w:szCs w:val="24"/>
        </w:rPr>
        <w:t>NEP</w:t>
      </w:r>
      <w:r w:rsidR="00E20C22" w:rsidRPr="00E20C22">
        <w:rPr>
          <w:rFonts w:cstheme="minorHAnsi"/>
          <w:szCs w:val="24"/>
        </w:rPr>
        <w:t xml:space="preserve"> </w:t>
      </w:r>
      <w:r w:rsidR="00E20C22" w:rsidRPr="008B310B">
        <w:rPr>
          <w:rFonts w:ascii="Arial" w:hAnsi="Arial" w:cs="Arial"/>
          <w:szCs w:val="24"/>
          <w:lang w:val="en-US"/>
        </w:rPr>
        <w:t xml:space="preserve">Part 1.5 </w:t>
      </w:r>
      <w:r w:rsidR="003535BF" w:rsidRPr="008B310B">
        <w:rPr>
          <w:rFonts w:ascii="Arial" w:hAnsi="Arial" w:cs="Arial"/>
          <w:szCs w:val="24"/>
          <w:lang w:val="en-US"/>
        </w:rPr>
        <w:t>Designation Criterion</w:t>
      </w:r>
      <w:r w:rsidR="00E20C22">
        <w:rPr>
          <w:rFonts w:ascii="Arial" w:hAnsi="Arial" w:cs="Arial"/>
          <w:szCs w:val="24"/>
          <w:lang w:val="en-US"/>
        </w:rPr>
        <w:t xml:space="preserve"> for Mineral Resource Extraction Areas</w:t>
      </w:r>
      <w:r w:rsidR="003535BF" w:rsidRPr="008B310B">
        <w:rPr>
          <w:rFonts w:ascii="Arial" w:hAnsi="Arial" w:cs="Arial"/>
          <w:szCs w:val="24"/>
          <w:lang w:val="en-US"/>
        </w:rPr>
        <w:t xml:space="preserve"> identifies </w:t>
      </w:r>
      <w:r w:rsidR="003535BF" w:rsidRPr="00E20C22">
        <w:rPr>
          <w:rFonts w:ascii="Arial" w:hAnsi="Arial" w:cs="Arial"/>
          <w:i/>
          <w:iCs/>
          <w:szCs w:val="24"/>
          <w:lang w:val="en-US"/>
        </w:rPr>
        <w:t>existing licensed areas</w:t>
      </w:r>
      <w:r w:rsidR="0019513F">
        <w:rPr>
          <w:rFonts w:ascii="Arial" w:hAnsi="Arial" w:cs="Arial"/>
          <w:i/>
          <w:iCs/>
          <w:szCs w:val="24"/>
          <w:lang w:val="en-US"/>
        </w:rPr>
        <w:t xml:space="preserve"> </w:t>
      </w:r>
      <w:r w:rsidR="003535BF" w:rsidRPr="008B310B">
        <w:rPr>
          <w:rFonts w:ascii="Arial" w:hAnsi="Arial" w:cs="Arial"/>
          <w:szCs w:val="24"/>
          <w:lang w:val="en-US"/>
        </w:rPr>
        <w:t xml:space="preserve">as </w:t>
      </w:r>
      <w:r w:rsidR="003535BF">
        <w:rPr>
          <w:rFonts w:ascii="Arial" w:hAnsi="Arial" w:cs="Arial"/>
          <w:szCs w:val="24"/>
          <w:lang w:val="en-US"/>
        </w:rPr>
        <w:t xml:space="preserve">the </w:t>
      </w:r>
      <w:r w:rsidR="003535BF" w:rsidRPr="008B310B">
        <w:rPr>
          <w:rFonts w:ascii="Arial" w:hAnsi="Arial" w:cs="Arial"/>
          <w:szCs w:val="24"/>
          <w:lang w:val="en-US"/>
        </w:rPr>
        <w:t>criterion for the MREA designation.  The aggregate extraction activities on the subject property have now ceased</w:t>
      </w:r>
      <w:r w:rsidR="003535BF">
        <w:rPr>
          <w:rFonts w:ascii="Arial" w:hAnsi="Arial" w:cs="Arial"/>
          <w:szCs w:val="24"/>
          <w:lang w:val="en-US"/>
        </w:rPr>
        <w:t xml:space="preserve"> and are no longer licenced</w:t>
      </w:r>
      <w:r w:rsidR="003535BF" w:rsidRPr="008B310B">
        <w:rPr>
          <w:rFonts w:ascii="Arial" w:hAnsi="Arial" w:cs="Arial"/>
          <w:szCs w:val="24"/>
          <w:lang w:val="en-US"/>
        </w:rPr>
        <w:t xml:space="preserve">, and as such, </w:t>
      </w:r>
      <w:r w:rsidR="003535BF">
        <w:rPr>
          <w:rFonts w:ascii="Arial" w:hAnsi="Arial" w:cs="Arial"/>
          <w:szCs w:val="24"/>
          <w:lang w:val="en-US"/>
        </w:rPr>
        <w:t>it is not appropriate to maintain the MREA designation</w:t>
      </w:r>
      <w:r w:rsidR="003535BF" w:rsidRPr="008B310B">
        <w:rPr>
          <w:rFonts w:ascii="Arial" w:hAnsi="Arial" w:cs="Arial"/>
          <w:szCs w:val="24"/>
          <w:lang w:val="en-US"/>
        </w:rPr>
        <w:t>.</w:t>
      </w:r>
      <w:r w:rsidR="0019513F">
        <w:rPr>
          <w:rFonts w:ascii="Arial" w:hAnsi="Arial" w:cs="Arial"/>
          <w:szCs w:val="24"/>
          <w:lang w:val="en-US"/>
        </w:rPr>
        <w:t xml:space="preserve"> Staff further note that the significant amount of fill deposited on the site is likely to impact the feasibility of accessing any remaining aggregate on-site. The subject lands are in private ownership now following the surrender of the licence by the aggregate operator.</w:t>
      </w:r>
    </w:p>
    <w:p w14:paraId="7A53CF88" w14:textId="67F82398" w:rsidR="00146880" w:rsidRDefault="00146880" w:rsidP="00146880">
      <w:pPr>
        <w:rPr>
          <w:rFonts w:ascii="Arial" w:hAnsi="Arial" w:cs="Arial"/>
        </w:rPr>
      </w:pPr>
      <w:r w:rsidRPr="00EF0A2D">
        <w:rPr>
          <w:rFonts w:ascii="Arial" w:hAnsi="Arial" w:cs="Arial"/>
        </w:rPr>
        <w:t>The direction set out in the NEP is to see MREAs re</w:t>
      </w:r>
      <w:r w:rsidR="00E20C22" w:rsidRPr="00EF0A2D">
        <w:rPr>
          <w:rFonts w:ascii="Arial" w:hAnsi="Arial" w:cs="Arial"/>
        </w:rPr>
        <w:t>-</w:t>
      </w:r>
      <w:r w:rsidRPr="00EF0A2D">
        <w:rPr>
          <w:rFonts w:ascii="Arial" w:hAnsi="Arial" w:cs="Arial"/>
        </w:rPr>
        <w:t xml:space="preserve">designated once the extraction has been completed and the licence is surrendered. </w:t>
      </w:r>
      <w:r w:rsidRPr="00EF0A2D">
        <w:rPr>
          <w:rFonts w:ascii="Arial" w:hAnsi="Arial" w:cs="Arial"/>
          <w:lang w:val="en-US"/>
        </w:rPr>
        <w:t xml:space="preserve">Such sites where extraction has been completed are expected to be rehabilitated and then redesignated to allow for </w:t>
      </w:r>
      <w:r w:rsidR="001D7C99">
        <w:rPr>
          <w:rFonts w:ascii="Arial" w:hAnsi="Arial" w:cs="Arial"/>
          <w:lang w:val="en-US"/>
        </w:rPr>
        <w:t xml:space="preserve">consideration of </w:t>
      </w:r>
      <w:r w:rsidRPr="00EF0A2D">
        <w:rPr>
          <w:rFonts w:ascii="Arial" w:hAnsi="Arial" w:cs="Arial"/>
          <w:lang w:val="en-US"/>
        </w:rPr>
        <w:t xml:space="preserve">compatible uses permitted by the NEP. </w:t>
      </w:r>
      <w:r w:rsidRPr="00EF0A2D">
        <w:rPr>
          <w:rFonts w:ascii="Arial" w:hAnsi="Arial" w:cs="Arial"/>
        </w:rPr>
        <w:t>Appropriate redesignation of the lands promotes the return of such lands to less intensive and compatible land uses and removes the pressure to use a former licensed site for industrial processing facilities, landfilling, or stockpiling, or as a disposal site for surplus fill.</w:t>
      </w:r>
      <w:r w:rsidR="00E20C22">
        <w:rPr>
          <w:rFonts w:ascii="Arial" w:hAnsi="Arial" w:cs="Arial"/>
        </w:rPr>
        <w:t xml:space="preserve"> </w:t>
      </w:r>
    </w:p>
    <w:p w14:paraId="01FEB2CB" w14:textId="3FA6A023" w:rsidR="007154B4" w:rsidRDefault="007154B4" w:rsidP="007154B4">
      <w:pPr>
        <w:spacing w:after="0"/>
        <w:rPr>
          <w:rFonts w:ascii="Arial" w:hAnsi="Arial" w:cs="Arial"/>
          <w:szCs w:val="24"/>
          <w:lang w:val="en-US"/>
        </w:rPr>
      </w:pPr>
      <w:r w:rsidRPr="004D7C59">
        <w:rPr>
          <w:rFonts w:ascii="Arial" w:hAnsi="Arial" w:cs="Arial"/>
          <w:szCs w:val="24"/>
          <w:lang w:val="en-US"/>
        </w:rPr>
        <w:t>As the agency that administers the NEP, the NEC has the responsibility to ensure that the NEP Objectives are being achieved and that the Plan is kept current and that mapping reflect</w:t>
      </w:r>
      <w:r>
        <w:rPr>
          <w:rFonts w:ascii="Arial" w:hAnsi="Arial" w:cs="Arial"/>
          <w:szCs w:val="24"/>
          <w:lang w:val="en-US"/>
        </w:rPr>
        <w:t>s</w:t>
      </w:r>
      <w:r w:rsidRPr="004D7C59">
        <w:rPr>
          <w:rFonts w:ascii="Arial" w:hAnsi="Arial" w:cs="Arial"/>
          <w:szCs w:val="24"/>
          <w:lang w:val="en-US"/>
        </w:rPr>
        <w:t xml:space="preserve"> the most accurate and appropriate land use designations, based on an assessment of the features on the ground against the NEP’s Designation Criteria and Objectives.</w:t>
      </w:r>
      <w:r>
        <w:rPr>
          <w:rFonts w:ascii="Arial" w:hAnsi="Arial" w:cs="Arial"/>
          <w:szCs w:val="24"/>
          <w:lang w:val="en-US"/>
        </w:rPr>
        <w:t xml:space="preserve"> It is in the public interest to ensure that MREAs be considered interim land uses and that once the operation has ceased the lands return to more appropriate land use designations to allow for the consideration of compatible future land uses in support of the Purpose and Objectives of the NEPDA and the NEP.  </w:t>
      </w:r>
    </w:p>
    <w:p w14:paraId="46BDB57A" w14:textId="76E7DF8F" w:rsidR="00754B82" w:rsidRDefault="00754B82" w:rsidP="007154B4">
      <w:pPr>
        <w:spacing w:after="0"/>
        <w:rPr>
          <w:rFonts w:ascii="Arial" w:hAnsi="Arial" w:cs="Arial"/>
          <w:szCs w:val="24"/>
          <w:lang w:val="en-US"/>
        </w:rPr>
      </w:pPr>
    </w:p>
    <w:p w14:paraId="387873C6" w14:textId="0284195F" w:rsidR="00754B82" w:rsidRDefault="00754B82" w:rsidP="007154B4">
      <w:pPr>
        <w:spacing w:after="0"/>
        <w:rPr>
          <w:rFonts w:ascii="Arial" w:hAnsi="Arial" w:cs="Arial"/>
          <w:szCs w:val="24"/>
          <w:lang w:val="en-US"/>
        </w:rPr>
      </w:pPr>
      <w:r>
        <w:rPr>
          <w:rFonts w:ascii="Arial" w:eastAsia="Times New Roman" w:hAnsi="Arial" w:cs="Arial"/>
          <w:snapToGrid w:val="0"/>
          <w:color w:val="000000"/>
          <w:szCs w:val="20"/>
          <w:shd w:val="clear" w:color="auto" w:fill="FFFFFF"/>
        </w:rPr>
        <w:t xml:space="preserve">Halton </w:t>
      </w:r>
      <w:r w:rsidRPr="00754B82">
        <w:rPr>
          <w:rFonts w:ascii="Arial" w:eastAsia="Times New Roman" w:hAnsi="Arial" w:cs="Arial"/>
          <w:snapToGrid w:val="0"/>
          <w:color w:val="000000"/>
          <w:szCs w:val="20"/>
          <w:shd w:val="clear" w:color="auto" w:fill="FFFFFF"/>
        </w:rPr>
        <w:t xml:space="preserve">Region </w:t>
      </w:r>
      <w:r>
        <w:rPr>
          <w:rFonts w:ascii="Arial" w:eastAsia="Times New Roman" w:hAnsi="Arial" w:cs="Arial"/>
          <w:snapToGrid w:val="0"/>
          <w:color w:val="000000"/>
          <w:szCs w:val="20"/>
          <w:shd w:val="clear" w:color="auto" w:fill="FFFFFF"/>
        </w:rPr>
        <w:t xml:space="preserve">Official Plan policy also </w:t>
      </w:r>
      <w:r w:rsidRPr="00754B82">
        <w:rPr>
          <w:rFonts w:ascii="Arial" w:eastAsia="Times New Roman" w:hAnsi="Arial" w:cs="Arial"/>
          <w:snapToGrid w:val="0"/>
          <w:color w:val="000000"/>
          <w:szCs w:val="20"/>
          <w:shd w:val="clear" w:color="auto" w:fill="FFFFFF"/>
        </w:rPr>
        <w:t>consider</w:t>
      </w:r>
      <w:r>
        <w:rPr>
          <w:rFonts w:ascii="Arial" w:eastAsia="Times New Roman" w:hAnsi="Arial" w:cs="Arial"/>
          <w:snapToGrid w:val="0"/>
          <w:color w:val="000000"/>
          <w:szCs w:val="20"/>
          <w:shd w:val="clear" w:color="auto" w:fill="FFFFFF"/>
        </w:rPr>
        <w:t>s</w:t>
      </w:r>
      <w:r w:rsidRPr="00754B82">
        <w:rPr>
          <w:rFonts w:ascii="Arial" w:eastAsia="Times New Roman" w:hAnsi="Arial" w:cs="Arial"/>
          <w:snapToGrid w:val="0"/>
          <w:color w:val="000000"/>
          <w:szCs w:val="20"/>
          <w:shd w:val="clear" w:color="auto" w:fill="FFFFFF"/>
        </w:rPr>
        <w:t xml:space="preserve"> mineral aggregate resource extraction as an interim use and </w:t>
      </w:r>
      <w:r>
        <w:rPr>
          <w:rFonts w:ascii="Arial" w:eastAsia="Times New Roman" w:hAnsi="Arial" w:cs="Arial"/>
          <w:snapToGrid w:val="0"/>
          <w:color w:val="000000"/>
          <w:szCs w:val="20"/>
          <w:shd w:val="clear" w:color="auto" w:fill="FFFFFF"/>
        </w:rPr>
        <w:t>requires</w:t>
      </w:r>
      <w:r w:rsidRPr="00754B82">
        <w:rPr>
          <w:rFonts w:ascii="Arial" w:eastAsia="Times New Roman" w:hAnsi="Arial" w:cs="Arial"/>
          <w:snapToGrid w:val="0"/>
          <w:color w:val="000000"/>
          <w:szCs w:val="20"/>
          <w:shd w:val="clear" w:color="auto" w:fill="FFFFFF"/>
        </w:rPr>
        <w:t xml:space="preserve"> the rehabilitation of all such sites to form part of the Greenbelt</w:t>
      </w:r>
      <w:r>
        <w:rPr>
          <w:rFonts w:ascii="Arial" w:eastAsia="Times New Roman" w:hAnsi="Arial" w:cs="Arial"/>
          <w:snapToGrid w:val="0"/>
          <w:color w:val="000000"/>
          <w:szCs w:val="20"/>
          <w:shd w:val="clear" w:color="auto" w:fill="FFFFFF"/>
        </w:rPr>
        <w:t>,</w:t>
      </w:r>
      <w:r w:rsidRPr="00754B82">
        <w:rPr>
          <w:rFonts w:ascii="Arial" w:eastAsia="Times New Roman" w:hAnsi="Arial" w:cs="Arial"/>
          <w:snapToGrid w:val="0"/>
          <w:color w:val="000000"/>
          <w:szCs w:val="20"/>
          <w:shd w:val="clear" w:color="auto" w:fill="FFFFFF"/>
        </w:rPr>
        <w:t xml:space="preserve"> Regional Natural Heritage System</w:t>
      </w:r>
      <w:r w:rsidR="0095786E">
        <w:rPr>
          <w:rFonts w:ascii="Arial" w:eastAsia="Times New Roman" w:hAnsi="Arial" w:cs="Arial"/>
          <w:snapToGrid w:val="0"/>
          <w:color w:val="000000"/>
          <w:szCs w:val="20"/>
          <w:shd w:val="clear" w:color="auto" w:fill="FFFFFF"/>
        </w:rPr>
        <w:t>,</w:t>
      </w:r>
      <w:r w:rsidRPr="00754B82">
        <w:rPr>
          <w:rFonts w:ascii="Arial" w:eastAsia="Times New Roman" w:hAnsi="Arial" w:cs="Arial"/>
          <w:snapToGrid w:val="0"/>
          <w:color w:val="000000"/>
          <w:szCs w:val="20"/>
          <w:shd w:val="clear" w:color="auto" w:fill="FFFFFF"/>
        </w:rPr>
        <w:t xml:space="preserve"> or the Agricultural Area, with the proposed after-uses being in conformity with the applicable policies of that land use designation.</w:t>
      </w:r>
    </w:p>
    <w:p w14:paraId="3C0D88C7" w14:textId="77777777" w:rsidR="007154B4" w:rsidRPr="004D7C59" w:rsidRDefault="007154B4" w:rsidP="007154B4">
      <w:pPr>
        <w:spacing w:after="0"/>
        <w:rPr>
          <w:rFonts w:ascii="Arial" w:hAnsi="Arial" w:cs="Arial"/>
          <w:szCs w:val="24"/>
          <w:lang w:val="en-US"/>
        </w:rPr>
      </w:pPr>
    </w:p>
    <w:p w14:paraId="3D23171F" w14:textId="77777777" w:rsidR="003A5BB2" w:rsidRPr="003A5BB2" w:rsidRDefault="003A5BB2" w:rsidP="00946953">
      <w:pPr>
        <w:widowControl w:val="0"/>
        <w:tabs>
          <w:tab w:val="left" w:pos="-1368"/>
          <w:tab w:val="left" w:pos="-720"/>
          <w:tab w:val="left" w:pos="900"/>
          <w:tab w:val="left" w:pos="2700"/>
        </w:tabs>
        <w:spacing w:after="0" w:line="240" w:lineRule="auto"/>
        <w:rPr>
          <w:rFonts w:ascii="Arial" w:eastAsia="Times New Roman" w:hAnsi="Arial" w:cs="Arial"/>
          <w:b/>
          <w:snapToGrid w:val="0"/>
          <w:szCs w:val="24"/>
          <w:u w:val="single"/>
        </w:rPr>
      </w:pPr>
      <w:r w:rsidRPr="003A5BB2">
        <w:rPr>
          <w:rFonts w:ascii="Arial" w:eastAsia="Times New Roman" w:hAnsi="Arial" w:cs="Arial"/>
          <w:b/>
          <w:snapToGrid w:val="0"/>
          <w:szCs w:val="24"/>
          <w:u w:val="single"/>
        </w:rPr>
        <w:t>Municipalities</w:t>
      </w:r>
    </w:p>
    <w:p w14:paraId="063AC3ED"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p>
    <w:p w14:paraId="7A67CEB3" w14:textId="128DF1CB" w:rsidR="003A5BB2" w:rsidRDefault="00A36CE9" w:rsidP="00A36CE9">
      <w:pPr>
        <w:widowControl w:val="0"/>
        <w:tabs>
          <w:tab w:val="left" w:pos="-1368"/>
          <w:tab w:val="left" w:pos="-720"/>
          <w:tab w:val="left" w:pos="1152"/>
          <w:tab w:val="left" w:pos="2700"/>
        </w:tabs>
        <w:rPr>
          <w:szCs w:val="24"/>
        </w:rPr>
      </w:pPr>
      <w:r w:rsidRPr="00A36CE9">
        <w:rPr>
          <w:rFonts w:ascii="Arial" w:eastAsia="Times New Roman" w:hAnsi="Arial" w:cs="Arial"/>
          <w:b/>
          <w:bCs/>
          <w:snapToGrid w:val="0"/>
          <w:szCs w:val="24"/>
        </w:rPr>
        <w:t>Region of Halton</w:t>
      </w:r>
      <w:r w:rsidRPr="00A36CE9">
        <w:rPr>
          <w:rFonts w:ascii="Arial" w:eastAsia="Times New Roman" w:hAnsi="Arial" w:cs="Arial"/>
          <w:snapToGrid w:val="0"/>
          <w:szCs w:val="24"/>
        </w:rPr>
        <w:t xml:space="preserve">: </w:t>
      </w:r>
      <w:r w:rsidRPr="00A36CE9">
        <w:rPr>
          <w:szCs w:val="24"/>
        </w:rPr>
        <w:t>Regional staff have reviewed the NEP amendment application and have no objection to the redesignation of lands under the NEP from MREA to E</w:t>
      </w:r>
      <w:r>
        <w:rPr>
          <w:szCs w:val="24"/>
        </w:rPr>
        <w:t xml:space="preserve">scarpment </w:t>
      </w:r>
      <w:r w:rsidRPr="00A36CE9">
        <w:rPr>
          <w:szCs w:val="24"/>
        </w:rPr>
        <w:t>P</w:t>
      </w:r>
      <w:r>
        <w:rPr>
          <w:szCs w:val="24"/>
        </w:rPr>
        <w:t xml:space="preserve">rotection </w:t>
      </w:r>
      <w:r w:rsidRPr="00A36CE9">
        <w:rPr>
          <w:szCs w:val="24"/>
        </w:rPr>
        <w:t>A</w:t>
      </w:r>
      <w:r>
        <w:rPr>
          <w:szCs w:val="24"/>
        </w:rPr>
        <w:t>rea</w:t>
      </w:r>
      <w:r w:rsidRPr="00A36CE9">
        <w:rPr>
          <w:szCs w:val="24"/>
        </w:rPr>
        <w:t xml:space="preserve"> and E</w:t>
      </w:r>
      <w:r>
        <w:rPr>
          <w:szCs w:val="24"/>
        </w:rPr>
        <w:t xml:space="preserve">scarpment </w:t>
      </w:r>
      <w:r w:rsidRPr="00A36CE9">
        <w:rPr>
          <w:szCs w:val="24"/>
        </w:rPr>
        <w:t>N</w:t>
      </w:r>
      <w:r>
        <w:rPr>
          <w:szCs w:val="24"/>
        </w:rPr>
        <w:t xml:space="preserve">atural </w:t>
      </w:r>
      <w:r w:rsidRPr="00A36CE9">
        <w:rPr>
          <w:szCs w:val="24"/>
        </w:rPr>
        <w:t>A</w:t>
      </w:r>
      <w:r>
        <w:rPr>
          <w:szCs w:val="24"/>
        </w:rPr>
        <w:t>rea</w:t>
      </w:r>
      <w:r w:rsidRPr="00A36CE9">
        <w:rPr>
          <w:szCs w:val="24"/>
        </w:rPr>
        <w:t>, provided the required rehabilitation measures are implemented, particularly those in Section 2.9.11 of the NEP. Regional staff will endeavor to incorporate the redesignation of the subject lands under the NEP into the ongoing R</w:t>
      </w:r>
      <w:r>
        <w:rPr>
          <w:szCs w:val="24"/>
        </w:rPr>
        <w:t xml:space="preserve">egional </w:t>
      </w:r>
      <w:r w:rsidRPr="00A36CE9">
        <w:rPr>
          <w:szCs w:val="24"/>
        </w:rPr>
        <w:t>O</w:t>
      </w:r>
      <w:r>
        <w:rPr>
          <w:szCs w:val="24"/>
        </w:rPr>
        <w:t xml:space="preserve">fficial </w:t>
      </w:r>
      <w:r w:rsidRPr="00A36CE9">
        <w:rPr>
          <w:szCs w:val="24"/>
        </w:rPr>
        <w:t>P</w:t>
      </w:r>
      <w:r>
        <w:rPr>
          <w:szCs w:val="24"/>
        </w:rPr>
        <w:t xml:space="preserve">lan </w:t>
      </w:r>
      <w:r w:rsidRPr="00A36CE9">
        <w:rPr>
          <w:szCs w:val="24"/>
        </w:rPr>
        <w:t>R</w:t>
      </w:r>
      <w:r>
        <w:rPr>
          <w:szCs w:val="24"/>
        </w:rPr>
        <w:t>eview</w:t>
      </w:r>
      <w:r w:rsidRPr="00A36CE9">
        <w:rPr>
          <w:szCs w:val="24"/>
        </w:rPr>
        <w:t xml:space="preserve">, particularly the review of the Regional Natural Heritage System and Agricultural Area policies, provided the NEP </w:t>
      </w:r>
      <w:r w:rsidRPr="00A36CE9">
        <w:rPr>
          <w:szCs w:val="24"/>
        </w:rPr>
        <w:lastRenderedPageBreak/>
        <w:t>amendment proceeds in advance of the completion of the review.</w:t>
      </w:r>
    </w:p>
    <w:p w14:paraId="5A2FF763" w14:textId="59A35B7F" w:rsidR="00A36CE9" w:rsidRDefault="00A36CE9" w:rsidP="000C67C4">
      <w:pPr>
        <w:pStyle w:val="Default"/>
        <w:spacing w:after="200" w:line="276" w:lineRule="auto"/>
      </w:pPr>
      <w:r w:rsidRPr="00A36CE9">
        <w:rPr>
          <w:b/>
          <w:bCs/>
        </w:rPr>
        <w:t>Town of Milton:</w:t>
      </w:r>
      <w:r>
        <w:rPr>
          <w:b/>
          <w:bCs/>
        </w:rPr>
        <w:t xml:space="preserve"> </w:t>
      </w:r>
      <w:r w:rsidRPr="00A36CE9">
        <w:t xml:space="preserve">The property is currently under the development control of the </w:t>
      </w:r>
      <w:r w:rsidR="004465A0">
        <w:t>NEC</w:t>
      </w:r>
      <w:r w:rsidRPr="00A36CE9">
        <w:t xml:space="preserve"> and has no zoning under </w:t>
      </w:r>
      <w:r w:rsidR="004465A0">
        <w:t>t</w:t>
      </w:r>
      <w:r w:rsidRPr="00A36CE9">
        <w:t xml:space="preserve">he Town of Milton Zoning By-law 144-2003, as amended. However, should the lands be reviewed under Zoning By-law 144-2003, they would be Rural (A2) Zone. </w:t>
      </w:r>
      <w:r w:rsidR="00946953" w:rsidRPr="00946953">
        <w:t>The subject lands are designated as Mineral Resource Extraction Area</w:t>
      </w:r>
      <w:r w:rsidR="00BD7CBA">
        <w:t>s on sc</w:t>
      </w:r>
      <w:r w:rsidR="00946953" w:rsidRPr="00946953">
        <w:t>hedule A – Land Use Plan of the Town of Milton’s Official Plan.</w:t>
      </w:r>
    </w:p>
    <w:p w14:paraId="315D8246" w14:textId="752E4921" w:rsidR="00946953" w:rsidRDefault="00946953" w:rsidP="00946953">
      <w:pPr>
        <w:pStyle w:val="Default"/>
      </w:pPr>
      <w:r>
        <w:t>No objections to the proposed amendment.</w:t>
      </w:r>
    </w:p>
    <w:p w14:paraId="3F376495" w14:textId="5086B585" w:rsidR="00A36CE9" w:rsidRDefault="00A36CE9" w:rsidP="00A36CE9">
      <w:pPr>
        <w:pStyle w:val="Default"/>
        <w:rPr>
          <w:b/>
          <w:bCs/>
        </w:rPr>
      </w:pPr>
    </w:p>
    <w:p w14:paraId="504B4737" w14:textId="4C82B04F" w:rsidR="003A5BB2" w:rsidRPr="003A5BB2" w:rsidRDefault="003A5BB2" w:rsidP="00946953">
      <w:pPr>
        <w:widowControl w:val="0"/>
        <w:tabs>
          <w:tab w:val="left" w:pos="-1368"/>
          <w:tab w:val="left" w:pos="-720"/>
          <w:tab w:val="left" w:pos="900"/>
          <w:tab w:val="left" w:pos="2700"/>
        </w:tabs>
        <w:spacing w:after="0" w:line="240" w:lineRule="auto"/>
        <w:rPr>
          <w:rFonts w:ascii="Arial" w:eastAsia="Times New Roman" w:hAnsi="Arial" w:cs="Arial"/>
          <w:b/>
          <w:snapToGrid w:val="0"/>
          <w:szCs w:val="24"/>
          <w:u w:val="single"/>
        </w:rPr>
      </w:pPr>
      <w:r w:rsidRPr="003A5BB2">
        <w:rPr>
          <w:rFonts w:ascii="Arial" w:eastAsia="Times New Roman" w:hAnsi="Arial" w:cs="Arial"/>
          <w:b/>
          <w:snapToGrid w:val="0"/>
          <w:szCs w:val="24"/>
          <w:u w:val="single"/>
        </w:rPr>
        <w:t>Agencies, Partners</w:t>
      </w:r>
      <w:r w:rsidR="000C67C4">
        <w:rPr>
          <w:rFonts w:ascii="Arial" w:eastAsia="Times New Roman" w:hAnsi="Arial" w:cs="Arial"/>
          <w:b/>
          <w:snapToGrid w:val="0"/>
          <w:szCs w:val="24"/>
          <w:u w:val="single"/>
        </w:rPr>
        <w:t>,</w:t>
      </w:r>
      <w:r w:rsidRPr="003A5BB2">
        <w:rPr>
          <w:rFonts w:ascii="Arial" w:eastAsia="Times New Roman" w:hAnsi="Arial" w:cs="Arial"/>
          <w:b/>
          <w:snapToGrid w:val="0"/>
          <w:szCs w:val="24"/>
          <w:u w:val="single"/>
        </w:rPr>
        <w:t xml:space="preserve"> and Stakeholders</w:t>
      </w:r>
    </w:p>
    <w:p w14:paraId="72F7E61D" w14:textId="164D1B22"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2716931D" w14:textId="56CB3B86" w:rsidR="000C67C4" w:rsidRPr="000C67C4" w:rsidRDefault="000C67C4" w:rsidP="000C67C4">
      <w:pPr>
        <w:widowControl w:val="0"/>
        <w:tabs>
          <w:tab w:val="left" w:pos="-1368"/>
          <w:tab w:val="left" w:pos="-720"/>
          <w:tab w:val="left" w:pos="1152"/>
          <w:tab w:val="left" w:pos="2700"/>
        </w:tabs>
        <w:rPr>
          <w:rFonts w:ascii="Arial" w:eastAsia="Times New Roman" w:hAnsi="Arial" w:cs="Arial"/>
          <w:snapToGrid w:val="0"/>
          <w:szCs w:val="24"/>
        </w:rPr>
      </w:pPr>
      <w:r w:rsidRPr="00662EAF">
        <w:rPr>
          <w:rFonts w:ascii="Arial" w:eastAsia="Times New Roman" w:hAnsi="Arial" w:cs="Arial"/>
          <w:b/>
          <w:bCs/>
          <w:snapToGrid w:val="0"/>
          <w:szCs w:val="24"/>
        </w:rPr>
        <w:t>Conservation Halton</w:t>
      </w:r>
      <w:r w:rsidRPr="000C67C4">
        <w:rPr>
          <w:rFonts w:ascii="Arial" w:eastAsia="Times New Roman" w:hAnsi="Arial" w:cs="Arial"/>
          <w:snapToGrid w:val="0"/>
          <w:szCs w:val="24"/>
        </w:rPr>
        <w:t xml:space="preserve">: No objection to the proposed amendment application. </w:t>
      </w:r>
      <w:r w:rsidR="00B82F3E">
        <w:rPr>
          <w:rFonts w:ascii="Arial" w:eastAsia="Times New Roman" w:hAnsi="Arial" w:cs="Arial"/>
          <w:snapToGrid w:val="0"/>
          <w:szCs w:val="24"/>
        </w:rPr>
        <w:t xml:space="preserve">The subject property is traversed by a tributary of Sixteen Mile Creek and contains the flooding and erosion hazards associated with this watercourse. CH regulates a distance of 15 m from the greater flooding and erosion hazard limits associated with the Sixteen Mile Creek and 120 m from the limit of wetland features greater than 2 ha in size for this site. </w:t>
      </w:r>
      <w:r w:rsidRPr="000C67C4">
        <w:rPr>
          <w:rFonts w:ascii="Arial" w:eastAsia="Times New Roman" w:hAnsi="Arial" w:cs="Arial"/>
          <w:snapToGrid w:val="0"/>
          <w:szCs w:val="24"/>
        </w:rPr>
        <w:t xml:space="preserve">A Permit from Conservation Halton will now be required for any development on the subject property within the </w:t>
      </w:r>
      <w:r w:rsidR="00FB737F">
        <w:rPr>
          <w:rFonts w:ascii="Arial" w:eastAsia="Times New Roman" w:hAnsi="Arial" w:cs="Arial"/>
          <w:snapToGrid w:val="0"/>
          <w:szCs w:val="24"/>
        </w:rPr>
        <w:t>CH-regulated</w:t>
      </w:r>
      <w:r w:rsidRPr="000C67C4">
        <w:rPr>
          <w:rFonts w:ascii="Arial" w:eastAsia="Times New Roman" w:hAnsi="Arial" w:cs="Arial"/>
          <w:snapToGrid w:val="0"/>
          <w:szCs w:val="24"/>
        </w:rPr>
        <w:t xml:space="preserve"> area, as the licence under the ARA has now been surrendered. </w:t>
      </w:r>
      <w:r w:rsidR="005E10A3">
        <w:rPr>
          <w:rFonts w:ascii="Arial" w:eastAsia="Times New Roman" w:hAnsi="Arial" w:cs="Arial"/>
          <w:snapToGrid w:val="0"/>
          <w:szCs w:val="24"/>
        </w:rPr>
        <w:t>CH notes that both the proposed land use designations will facilitate the protection of the natural hazards and natural features within CH’s regulated area.</w:t>
      </w:r>
    </w:p>
    <w:p w14:paraId="2F318F20" w14:textId="77777777" w:rsidR="003A5BB2" w:rsidRPr="003A5BB2" w:rsidRDefault="003A5BB2" w:rsidP="00146880">
      <w:pPr>
        <w:widowControl w:val="0"/>
        <w:tabs>
          <w:tab w:val="left" w:pos="-1368"/>
          <w:tab w:val="left" w:pos="-720"/>
          <w:tab w:val="left" w:pos="900"/>
          <w:tab w:val="left" w:pos="2700"/>
        </w:tabs>
        <w:spacing w:after="0" w:line="240" w:lineRule="auto"/>
        <w:rPr>
          <w:rFonts w:ascii="Arial" w:eastAsia="Times New Roman" w:hAnsi="Arial" w:cs="Arial"/>
          <w:b/>
          <w:snapToGrid w:val="0"/>
          <w:szCs w:val="24"/>
          <w:u w:val="single"/>
        </w:rPr>
      </w:pPr>
      <w:r w:rsidRPr="003A5BB2">
        <w:rPr>
          <w:rFonts w:ascii="Arial" w:eastAsia="Times New Roman" w:hAnsi="Arial" w:cs="Arial"/>
          <w:b/>
          <w:snapToGrid w:val="0"/>
          <w:szCs w:val="24"/>
          <w:u w:val="single"/>
        </w:rPr>
        <w:t>Public</w:t>
      </w:r>
    </w:p>
    <w:p w14:paraId="1B4C8489" w14:textId="32B799C2"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u w:val="single"/>
        </w:rPr>
      </w:pPr>
    </w:p>
    <w:p w14:paraId="443B7FAC" w14:textId="77777777" w:rsidR="002240E1" w:rsidRDefault="00146880" w:rsidP="002240E1">
      <w:pPr>
        <w:widowControl w:val="0"/>
        <w:tabs>
          <w:tab w:val="left" w:pos="-1368"/>
          <w:tab w:val="left" w:pos="-720"/>
          <w:tab w:val="left" w:pos="1152"/>
          <w:tab w:val="left" w:pos="2700"/>
        </w:tabs>
        <w:rPr>
          <w:rFonts w:ascii="Arial" w:eastAsia="Times New Roman" w:hAnsi="Arial" w:cs="Arial"/>
          <w:bCs/>
          <w:snapToGrid w:val="0"/>
          <w:szCs w:val="24"/>
        </w:rPr>
      </w:pPr>
      <w:r w:rsidRPr="00146880">
        <w:rPr>
          <w:rFonts w:ascii="Arial" w:eastAsia="Times New Roman" w:hAnsi="Arial" w:cs="Arial"/>
          <w:b/>
          <w:snapToGrid w:val="0"/>
          <w:szCs w:val="24"/>
        </w:rPr>
        <w:t>Environmental Registry</w:t>
      </w:r>
      <w:r>
        <w:rPr>
          <w:rFonts w:ascii="Arial" w:eastAsia="Times New Roman" w:hAnsi="Arial" w:cs="Arial"/>
          <w:bCs/>
          <w:snapToGrid w:val="0"/>
          <w:szCs w:val="24"/>
        </w:rPr>
        <w:t xml:space="preserve">: </w:t>
      </w:r>
      <w:r w:rsidR="00662EAF" w:rsidRPr="00662EAF">
        <w:rPr>
          <w:rFonts w:ascii="Arial" w:eastAsia="Times New Roman" w:hAnsi="Arial" w:cs="Arial"/>
          <w:bCs/>
          <w:snapToGrid w:val="0"/>
          <w:szCs w:val="24"/>
        </w:rPr>
        <w:t xml:space="preserve">One </w:t>
      </w:r>
      <w:r w:rsidR="00662EAF">
        <w:rPr>
          <w:rFonts w:ascii="Arial" w:eastAsia="Times New Roman" w:hAnsi="Arial" w:cs="Arial"/>
          <w:bCs/>
          <w:snapToGrid w:val="0"/>
          <w:szCs w:val="24"/>
        </w:rPr>
        <w:t>comment</w:t>
      </w:r>
      <w:r w:rsidR="00662EAF" w:rsidRPr="00662EAF">
        <w:rPr>
          <w:rFonts w:ascii="Arial" w:eastAsia="Times New Roman" w:hAnsi="Arial" w:cs="Arial"/>
          <w:bCs/>
          <w:snapToGrid w:val="0"/>
          <w:szCs w:val="24"/>
        </w:rPr>
        <w:t xml:space="preserve"> </w:t>
      </w:r>
      <w:r w:rsidR="00BD7CBA">
        <w:rPr>
          <w:rFonts w:ascii="Arial" w:eastAsia="Times New Roman" w:hAnsi="Arial" w:cs="Arial"/>
          <w:bCs/>
          <w:snapToGrid w:val="0"/>
          <w:szCs w:val="24"/>
        </w:rPr>
        <w:t xml:space="preserve">simply stating support for the proposal </w:t>
      </w:r>
      <w:r w:rsidR="00662EAF" w:rsidRPr="00662EAF">
        <w:rPr>
          <w:rFonts w:ascii="Arial" w:eastAsia="Times New Roman" w:hAnsi="Arial" w:cs="Arial"/>
          <w:bCs/>
          <w:snapToGrid w:val="0"/>
          <w:szCs w:val="24"/>
        </w:rPr>
        <w:t xml:space="preserve">was received through the </w:t>
      </w:r>
      <w:r w:rsidR="00662EAF">
        <w:rPr>
          <w:rFonts w:ascii="Arial" w:eastAsia="Times New Roman" w:hAnsi="Arial" w:cs="Arial"/>
          <w:bCs/>
          <w:snapToGrid w:val="0"/>
          <w:szCs w:val="24"/>
        </w:rPr>
        <w:t>Environmental Registry posting.</w:t>
      </w:r>
    </w:p>
    <w:p w14:paraId="4A74E0B2" w14:textId="019810C0" w:rsidR="003A5BB2" w:rsidRPr="002240E1" w:rsidRDefault="002240E1" w:rsidP="002240E1">
      <w:pPr>
        <w:pStyle w:val="ListParagraph"/>
        <w:widowControl w:val="0"/>
        <w:numPr>
          <w:ilvl w:val="0"/>
          <w:numId w:val="18"/>
        </w:numPr>
        <w:pBdr>
          <w:bottom w:val="single" w:sz="4" w:space="1" w:color="auto"/>
        </w:pBdr>
        <w:tabs>
          <w:tab w:val="left" w:pos="-1368"/>
          <w:tab w:val="left" w:pos="-720"/>
          <w:tab w:val="left" w:pos="1152"/>
          <w:tab w:val="left" w:pos="2700"/>
        </w:tabs>
        <w:rPr>
          <w:rFonts w:ascii="Arial" w:eastAsia="Times New Roman" w:hAnsi="Arial" w:cs="Arial"/>
          <w:bCs/>
          <w:snapToGrid w:val="0"/>
          <w:szCs w:val="24"/>
        </w:rPr>
      </w:pPr>
      <w:r>
        <w:rPr>
          <w:rFonts w:ascii="Arial" w:eastAsia="Times New Roman" w:hAnsi="Arial" w:cs="Arial"/>
          <w:b/>
          <w:snapToGrid w:val="0"/>
          <w:szCs w:val="24"/>
        </w:rPr>
        <w:t xml:space="preserve">  </w:t>
      </w:r>
      <w:r w:rsidR="003A5BB2" w:rsidRPr="002240E1">
        <w:rPr>
          <w:rFonts w:ascii="Arial" w:eastAsia="Times New Roman" w:hAnsi="Arial" w:cs="Arial"/>
          <w:b/>
          <w:snapToGrid w:val="0"/>
          <w:szCs w:val="24"/>
        </w:rPr>
        <w:t>D</w:t>
      </w:r>
      <w:r w:rsidR="009E2115" w:rsidRPr="002240E1">
        <w:rPr>
          <w:rFonts w:ascii="Arial" w:eastAsia="Times New Roman" w:hAnsi="Arial" w:cs="Arial"/>
          <w:b/>
          <w:snapToGrid w:val="0"/>
          <w:szCs w:val="24"/>
        </w:rPr>
        <w:t>ISCUSSION &amp; ANALYSIS</w:t>
      </w:r>
    </w:p>
    <w:p w14:paraId="7AC6D64A" w14:textId="0D9BD0BD" w:rsidR="00411037" w:rsidRPr="00411037" w:rsidRDefault="00411037" w:rsidP="00411037">
      <w:pPr>
        <w:autoSpaceDE w:val="0"/>
        <w:autoSpaceDN w:val="0"/>
        <w:adjustRightInd w:val="0"/>
        <w:rPr>
          <w:rFonts w:ascii="Arial" w:eastAsia="Times New Roman" w:hAnsi="Arial" w:cs="Arial"/>
          <w:szCs w:val="20"/>
        </w:rPr>
      </w:pPr>
      <w:r w:rsidRPr="00411037">
        <w:rPr>
          <w:rFonts w:ascii="Arial" w:eastAsia="Times New Roman" w:hAnsi="Arial" w:cs="Arial"/>
          <w:szCs w:val="20"/>
        </w:rPr>
        <w:t xml:space="preserve">The justification for the amendment has been set out in the Initial Staff Report dated July 15, 2021. </w:t>
      </w:r>
    </w:p>
    <w:p w14:paraId="3917CAD2" w14:textId="1FF008CD" w:rsidR="00411037" w:rsidRPr="003A5BB2" w:rsidRDefault="00411037" w:rsidP="00411037">
      <w:pPr>
        <w:autoSpaceDE w:val="0"/>
        <w:autoSpaceDN w:val="0"/>
        <w:adjustRightInd w:val="0"/>
        <w:rPr>
          <w:rFonts w:ascii="Arial" w:eastAsia="Times New Roman" w:hAnsi="Arial" w:cs="Arial"/>
          <w:szCs w:val="20"/>
        </w:rPr>
      </w:pPr>
      <w:r w:rsidRPr="00411037">
        <w:rPr>
          <w:rFonts w:ascii="Arial" w:eastAsia="Times New Roman" w:hAnsi="Arial" w:cs="Arial"/>
          <w:szCs w:val="20"/>
        </w:rPr>
        <w:t xml:space="preserve">The following discussion serves to confirm the original analysis as well as provide for any additional considerations that were undertaken by staff in coming to the final recommended amendment </w:t>
      </w:r>
      <w:r w:rsidR="00F54551">
        <w:rPr>
          <w:rFonts w:ascii="Arial" w:eastAsia="Times New Roman" w:hAnsi="Arial" w:cs="Arial"/>
          <w:szCs w:val="20"/>
        </w:rPr>
        <w:t xml:space="preserve">PH </w:t>
      </w:r>
      <w:r w:rsidRPr="00411037">
        <w:rPr>
          <w:rFonts w:ascii="Arial" w:eastAsia="Times New Roman" w:hAnsi="Arial" w:cs="Arial"/>
          <w:szCs w:val="20"/>
        </w:rPr>
        <w:t>221 21:</w:t>
      </w:r>
    </w:p>
    <w:p w14:paraId="7DCCE95F" w14:textId="7A1AC058"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bCs/>
          <w:i/>
          <w:szCs w:val="24"/>
        </w:rPr>
      </w:pPr>
      <w:r w:rsidRPr="00D15817">
        <w:rPr>
          <w:rFonts w:ascii="Arial" w:eastAsia="Times New Roman" w:hAnsi="Arial" w:cs="Arial"/>
          <w:b/>
          <w:bCs/>
          <w:i/>
          <w:szCs w:val="24"/>
        </w:rPr>
        <w:t xml:space="preserve">Niagara Escarpment Plan (2017) </w:t>
      </w:r>
    </w:p>
    <w:p w14:paraId="6F51E501" w14:textId="77777777" w:rsidR="004465A0" w:rsidRPr="00D15817" w:rsidRDefault="004465A0" w:rsidP="003A5BB2">
      <w:pPr>
        <w:widowControl w:val="0"/>
        <w:tabs>
          <w:tab w:val="left" w:pos="-1368"/>
          <w:tab w:val="left" w:pos="-720"/>
          <w:tab w:val="left" w:pos="1152"/>
          <w:tab w:val="left" w:pos="2700"/>
        </w:tabs>
        <w:spacing w:after="0" w:line="240" w:lineRule="auto"/>
        <w:rPr>
          <w:rFonts w:ascii="Arial" w:eastAsia="Times New Roman" w:hAnsi="Arial" w:cs="Arial"/>
          <w:b/>
          <w:bCs/>
          <w:i/>
          <w:szCs w:val="24"/>
        </w:rPr>
      </w:pPr>
    </w:p>
    <w:p w14:paraId="46052125" w14:textId="2BF6B71F" w:rsidR="00D15817" w:rsidRPr="00572400" w:rsidRDefault="00D15817" w:rsidP="00D15817">
      <w:pPr>
        <w:ind w:right="-158"/>
        <w:rPr>
          <w:rFonts w:ascii="Arial" w:hAnsi="Arial" w:cs="Arial"/>
          <w:szCs w:val="24"/>
        </w:rPr>
      </w:pPr>
      <w:r>
        <w:t xml:space="preserve">The </w:t>
      </w:r>
      <w:r w:rsidRPr="00DB04BB">
        <w:t>NEP Part 1.2.1 identifies that p</w:t>
      </w:r>
      <w:r w:rsidRPr="00082267">
        <w:t xml:space="preserve">lanning policies and land use designations may be changed </w:t>
      </w:r>
      <w:r w:rsidRPr="00DB04BB">
        <w:t xml:space="preserve">by amendment to the Plan, </w:t>
      </w:r>
      <w:r>
        <w:t>provided that</w:t>
      </w:r>
      <w:r w:rsidRPr="00082267">
        <w:t xml:space="preserve"> the </w:t>
      </w:r>
      <w:r>
        <w:t xml:space="preserve">proposed amendment is consistent with the </w:t>
      </w:r>
      <w:r w:rsidRPr="00082267">
        <w:t xml:space="preserve">Purpose and Objectives of the </w:t>
      </w:r>
      <w:r w:rsidRPr="006A4A67">
        <w:rPr>
          <w:iCs/>
        </w:rPr>
        <w:t>NEPDA</w:t>
      </w:r>
      <w:r w:rsidRPr="00082267">
        <w:rPr>
          <w:i/>
          <w:iCs/>
        </w:rPr>
        <w:t xml:space="preserve"> </w:t>
      </w:r>
      <w:r w:rsidRPr="00082267">
        <w:t xml:space="preserve">and the </w:t>
      </w:r>
      <w:r>
        <w:t>NEP</w:t>
      </w:r>
      <w:r w:rsidRPr="00DB04BB">
        <w:t>.  The Development Criteria set out in Part 2 of the NEP are to be considered in the assessment of any amendment to the NEP.</w:t>
      </w:r>
      <w:r>
        <w:t xml:space="preserve">  The Part 2 Development Criteria are not applicable in this instance, given that </w:t>
      </w:r>
      <w:r>
        <w:lastRenderedPageBreak/>
        <w:t xml:space="preserve">the amendment is only seeking a change to the designation, and is not seeking any associated development or policy exceptions.  Permitted </w:t>
      </w:r>
      <w:r w:rsidR="00FB737F">
        <w:t>u</w:t>
      </w:r>
      <w:r>
        <w:t>ses on the subject lands will be informed by the new designation</w:t>
      </w:r>
      <w:r w:rsidR="000244A5">
        <w:t>(</w:t>
      </w:r>
      <w:r>
        <w:t>s</w:t>
      </w:r>
      <w:r w:rsidR="000244A5">
        <w:t>)</w:t>
      </w:r>
      <w:r>
        <w:t>, once approved, and would require subsequent Development Permit Application</w:t>
      </w:r>
      <w:r w:rsidR="000244A5">
        <w:t>(s)</w:t>
      </w:r>
      <w:r>
        <w:t xml:space="preserve">. </w:t>
      </w:r>
    </w:p>
    <w:p w14:paraId="10BA7837" w14:textId="77777777" w:rsidR="00D15817" w:rsidRPr="00951E48" w:rsidRDefault="00D15817" w:rsidP="00D15817">
      <w:pPr>
        <w:rPr>
          <w:rFonts w:ascii="Arial" w:hAnsi="Arial" w:cs="Arial"/>
          <w:szCs w:val="24"/>
        </w:rPr>
      </w:pPr>
      <w:r w:rsidRPr="00951E48">
        <w:rPr>
          <w:rFonts w:ascii="Arial" w:hAnsi="Arial" w:cs="Arial"/>
          <w:szCs w:val="24"/>
        </w:rPr>
        <w:t>Licensed aggregate sites in the NEP Area are intended to be interim uses, given that the extraction within approved MREAs will eventually cease.  Such sites where extraction has been completed are expected to be rehabilitated and then re-designated to allow for other more compatible uses</w:t>
      </w:r>
      <w:r>
        <w:rPr>
          <w:rFonts w:ascii="Arial" w:hAnsi="Arial" w:cs="Arial"/>
          <w:szCs w:val="24"/>
        </w:rPr>
        <w:t>, which are identified as being permitted under the respective land use designation(s)</w:t>
      </w:r>
      <w:r w:rsidRPr="00951E48">
        <w:rPr>
          <w:rFonts w:ascii="Arial" w:hAnsi="Arial" w:cs="Arial"/>
          <w:szCs w:val="24"/>
        </w:rPr>
        <w:t xml:space="preserve">. </w:t>
      </w:r>
    </w:p>
    <w:p w14:paraId="5CA2985E" w14:textId="77777777" w:rsidR="00D15817" w:rsidRDefault="00D15817" w:rsidP="00D15817">
      <w:pPr>
        <w:spacing w:after="0" w:line="240" w:lineRule="auto"/>
        <w:rPr>
          <w:rFonts w:ascii="Arial" w:eastAsia="Times New Roman" w:hAnsi="Arial" w:cs="Arial"/>
          <w:szCs w:val="24"/>
          <w:lang w:val="en-US"/>
        </w:rPr>
      </w:pPr>
      <w:r w:rsidRPr="00951E48">
        <w:rPr>
          <w:rFonts w:ascii="Arial" w:eastAsia="Times New Roman" w:hAnsi="Arial" w:cs="Arial"/>
          <w:szCs w:val="24"/>
          <w:lang w:val="en-US"/>
        </w:rPr>
        <w:t>NEP Part 1.9</w:t>
      </w:r>
      <w:bookmarkStart w:id="2" w:name="_Toc508693101"/>
      <w:bookmarkStart w:id="3" w:name="_Toc519915947"/>
      <w:bookmarkStart w:id="4" w:name="_Toc942928"/>
      <w:bookmarkStart w:id="5" w:name="_Toc46572285"/>
      <w:bookmarkStart w:id="6" w:name="_Toc46647145"/>
      <w:bookmarkStart w:id="7" w:name="_Toc46807798"/>
      <w:bookmarkStart w:id="8" w:name="_Toc46810561"/>
      <w:bookmarkStart w:id="9" w:name="_Toc46822810"/>
      <w:bookmarkStart w:id="10" w:name="_Toc51570059"/>
      <w:bookmarkStart w:id="11" w:name="_Toc51571667"/>
      <w:r>
        <w:rPr>
          <w:rFonts w:ascii="Arial" w:eastAsia="Times New Roman" w:hAnsi="Arial" w:cs="Arial"/>
          <w:szCs w:val="24"/>
          <w:lang w:val="en-US"/>
        </w:rPr>
        <w:t>.2</w:t>
      </w:r>
      <w:r w:rsidRPr="00951E48">
        <w:rPr>
          <w:rFonts w:ascii="Arial" w:eastAsia="Times New Roman" w:hAnsi="Arial" w:cs="Arial"/>
          <w:szCs w:val="24"/>
          <w:lang w:val="en-US"/>
        </w:rPr>
        <w:t xml:space="preserve"> Criteria for Designation</w:t>
      </w:r>
      <w:bookmarkEnd w:id="2"/>
      <w:bookmarkEnd w:id="3"/>
      <w:bookmarkEnd w:id="4"/>
      <w:bookmarkEnd w:id="5"/>
      <w:bookmarkEnd w:id="6"/>
      <w:bookmarkEnd w:id="7"/>
      <w:bookmarkEnd w:id="8"/>
      <w:bookmarkEnd w:id="9"/>
      <w:bookmarkEnd w:id="10"/>
      <w:bookmarkEnd w:id="11"/>
      <w:r w:rsidRPr="00951E48">
        <w:rPr>
          <w:rFonts w:ascii="Arial" w:eastAsia="Times New Roman" w:hAnsi="Arial" w:cs="Arial"/>
          <w:szCs w:val="24"/>
          <w:lang w:val="en-US"/>
        </w:rPr>
        <w:t xml:space="preserve"> of a Mineral Resource Extraction Area states:</w:t>
      </w:r>
    </w:p>
    <w:p w14:paraId="64BC2570" w14:textId="77777777" w:rsidR="00D15817" w:rsidRDefault="00D15817" w:rsidP="00D15817">
      <w:pPr>
        <w:spacing w:after="0" w:line="240" w:lineRule="auto"/>
        <w:rPr>
          <w:rFonts w:ascii="Arial" w:eastAsia="Times New Roman" w:hAnsi="Arial" w:cs="Arial"/>
          <w:szCs w:val="24"/>
          <w:lang w:val="en-US"/>
        </w:rPr>
      </w:pPr>
    </w:p>
    <w:p w14:paraId="20F52AFB" w14:textId="77777777" w:rsidR="00D15817" w:rsidRPr="004E3E3A" w:rsidRDefault="00D15817" w:rsidP="00D15817">
      <w:pPr>
        <w:pStyle w:val="ListParagraph"/>
        <w:numPr>
          <w:ilvl w:val="0"/>
          <w:numId w:val="20"/>
        </w:numPr>
        <w:spacing w:after="0" w:line="240" w:lineRule="auto"/>
        <w:rPr>
          <w:rFonts w:ascii="Arial" w:eastAsia="Times New Roman" w:hAnsi="Arial" w:cs="Arial"/>
          <w:szCs w:val="24"/>
          <w:lang w:val="en-US"/>
        </w:rPr>
      </w:pPr>
      <w:r>
        <w:rPr>
          <w:rFonts w:ascii="Arial" w:eastAsia="Times New Roman" w:hAnsi="Arial" w:cs="Arial"/>
          <w:szCs w:val="24"/>
          <w:lang w:val="en-US"/>
        </w:rPr>
        <w:t>Licensed pits and quarries producing more than 20,000 tonnes annually.</w:t>
      </w:r>
    </w:p>
    <w:p w14:paraId="787EAB3C" w14:textId="77777777" w:rsidR="00D15817" w:rsidRPr="00951E48" w:rsidRDefault="00D15817" w:rsidP="00D15817">
      <w:pPr>
        <w:spacing w:after="0" w:line="240" w:lineRule="auto"/>
        <w:rPr>
          <w:rFonts w:ascii="Arial" w:eastAsia="Times New Roman" w:hAnsi="Arial" w:cs="Arial"/>
          <w:szCs w:val="24"/>
          <w:lang w:val="en-US"/>
        </w:rPr>
      </w:pPr>
    </w:p>
    <w:p w14:paraId="2E7C04A6" w14:textId="77777777" w:rsidR="00D15817" w:rsidRPr="00951E48" w:rsidRDefault="00D15817" w:rsidP="00D15817">
      <w:pPr>
        <w:rPr>
          <w:rFonts w:ascii="Arial" w:hAnsi="Arial" w:cs="Arial"/>
          <w:szCs w:val="24"/>
        </w:rPr>
      </w:pPr>
      <w:r w:rsidRPr="00951E48">
        <w:rPr>
          <w:rFonts w:ascii="Arial" w:hAnsi="Arial" w:cs="Arial"/>
          <w:szCs w:val="24"/>
        </w:rPr>
        <w:t xml:space="preserve">This Criterion is no longer applicable to the subject property following the completion of the aggregate extraction activities and surrender of the ARA licence.  </w:t>
      </w:r>
    </w:p>
    <w:p w14:paraId="66CB24DA" w14:textId="77777777" w:rsidR="00D15817" w:rsidRPr="00951E48" w:rsidRDefault="00D15817" w:rsidP="00D15817">
      <w:pPr>
        <w:rPr>
          <w:rFonts w:ascii="Arial" w:hAnsi="Arial" w:cs="Arial"/>
          <w:szCs w:val="24"/>
        </w:rPr>
      </w:pPr>
      <w:r w:rsidRPr="00951E48">
        <w:rPr>
          <w:rFonts w:ascii="Arial" w:hAnsi="Arial" w:cs="Arial"/>
          <w:szCs w:val="24"/>
        </w:rPr>
        <w:t>The Objectives of NEP Part 1.</w:t>
      </w:r>
      <w:r>
        <w:rPr>
          <w:rFonts w:ascii="Arial" w:hAnsi="Arial" w:cs="Arial"/>
          <w:szCs w:val="24"/>
        </w:rPr>
        <w:t>9</w:t>
      </w:r>
      <w:r w:rsidRPr="00951E48">
        <w:rPr>
          <w:rFonts w:ascii="Arial" w:hAnsi="Arial" w:cs="Arial"/>
          <w:szCs w:val="24"/>
        </w:rPr>
        <w:t xml:space="preserve"> Mineral Resource Extraction Area designation specifically state that after uses and rehabilitation should:</w:t>
      </w:r>
    </w:p>
    <w:p w14:paraId="190E95BC" w14:textId="0F1862A8" w:rsidR="00E20AC6" w:rsidRDefault="00FB737F" w:rsidP="00E20AC6">
      <w:pPr>
        <w:numPr>
          <w:ilvl w:val="0"/>
          <w:numId w:val="19"/>
        </w:numPr>
        <w:spacing w:after="0" w:line="240" w:lineRule="auto"/>
        <w:ind w:left="539" w:hanging="539"/>
        <w:rPr>
          <w:rFonts w:ascii="Arial" w:hAnsi="Arial" w:cs="Arial"/>
          <w:szCs w:val="24"/>
        </w:rPr>
      </w:pPr>
      <w:r>
        <w:rPr>
          <w:rFonts w:ascii="Arial" w:hAnsi="Arial" w:cs="Arial"/>
          <w:szCs w:val="24"/>
        </w:rPr>
        <w:t>e</w:t>
      </w:r>
      <w:r w:rsidR="00D15817" w:rsidRPr="00E20AC6">
        <w:rPr>
          <w:rFonts w:ascii="Arial" w:hAnsi="Arial" w:cs="Arial"/>
          <w:szCs w:val="24"/>
        </w:rPr>
        <w:t>ncourage rehabilitated mineral aggregate operations to be restored to a state that is of equal or greater ecological or agricultural value than the original characteristics of the site.</w:t>
      </w:r>
    </w:p>
    <w:p w14:paraId="3FBA312E" w14:textId="0E0C5123" w:rsidR="00D15817" w:rsidRPr="00E20AC6" w:rsidRDefault="00FB737F" w:rsidP="00E20AC6">
      <w:pPr>
        <w:numPr>
          <w:ilvl w:val="0"/>
          <w:numId w:val="19"/>
        </w:numPr>
        <w:spacing w:after="0" w:line="240" w:lineRule="auto"/>
        <w:ind w:left="539" w:hanging="539"/>
        <w:rPr>
          <w:rFonts w:ascii="Arial" w:hAnsi="Arial" w:cs="Arial"/>
          <w:szCs w:val="24"/>
        </w:rPr>
      </w:pPr>
      <w:r>
        <w:rPr>
          <w:rFonts w:ascii="Arial" w:hAnsi="Arial" w:cs="Arial"/>
          <w:szCs w:val="24"/>
        </w:rPr>
        <w:t>e</w:t>
      </w:r>
      <w:r w:rsidR="00D15817" w:rsidRPr="00E20AC6">
        <w:rPr>
          <w:rFonts w:ascii="Arial" w:hAnsi="Arial" w:cs="Arial"/>
          <w:szCs w:val="24"/>
        </w:rPr>
        <w:t>nsure that, after a licence is surrendered, the land is re-designated to a land use designation that is compatible with the rehabilitation of the site, the designation criteria of adjacent lands, the surrounding Escarpment environment</w:t>
      </w:r>
      <w:r w:rsidR="0095786E">
        <w:rPr>
          <w:rFonts w:ascii="Arial" w:hAnsi="Arial" w:cs="Arial"/>
          <w:szCs w:val="24"/>
        </w:rPr>
        <w:t>,</w:t>
      </w:r>
      <w:r w:rsidR="00D15817" w:rsidRPr="00E20AC6">
        <w:rPr>
          <w:rFonts w:ascii="Arial" w:hAnsi="Arial" w:cs="Arial"/>
          <w:szCs w:val="24"/>
        </w:rPr>
        <w:t xml:space="preserve"> and existing land uses in the area.</w:t>
      </w:r>
    </w:p>
    <w:p w14:paraId="6DF670DB" w14:textId="29C4038D" w:rsidR="00D15817" w:rsidRPr="00951E48" w:rsidRDefault="00FB737F" w:rsidP="000244A5">
      <w:pPr>
        <w:numPr>
          <w:ilvl w:val="0"/>
          <w:numId w:val="19"/>
        </w:numPr>
        <w:ind w:left="540" w:hanging="540"/>
        <w:rPr>
          <w:rFonts w:ascii="Arial" w:hAnsi="Arial" w:cs="Arial"/>
          <w:szCs w:val="24"/>
        </w:rPr>
      </w:pPr>
      <w:r>
        <w:rPr>
          <w:rFonts w:ascii="Arial" w:hAnsi="Arial" w:cs="Arial"/>
          <w:szCs w:val="24"/>
        </w:rPr>
        <w:t>e</w:t>
      </w:r>
      <w:r w:rsidR="00D15817" w:rsidRPr="00951E48">
        <w:rPr>
          <w:rFonts w:ascii="Arial" w:hAnsi="Arial" w:cs="Arial"/>
          <w:szCs w:val="24"/>
        </w:rPr>
        <w:t>ncourage, wherever possible, the rehabilitated after uses of pits and quarries to be integrated into the Niagara Escarpment Parks and Open Space System.</w:t>
      </w:r>
    </w:p>
    <w:p w14:paraId="1FC09F0E" w14:textId="22B719EA" w:rsidR="00D15817" w:rsidRPr="00951E48" w:rsidRDefault="00D15817" w:rsidP="00D15817">
      <w:pPr>
        <w:rPr>
          <w:rFonts w:ascii="Arial" w:hAnsi="Arial" w:cs="Arial"/>
          <w:szCs w:val="24"/>
        </w:rPr>
      </w:pPr>
      <w:r w:rsidRPr="00951E48">
        <w:rPr>
          <w:rFonts w:ascii="Arial" w:hAnsi="Arial" w:cs="Arial"/>
          <w:szCs w:val="24"/>
        </w:rPr>
        <w:t xml:space="preserve">The </w:t>
      </w:r>
      <w:r w:rsidR="00FB737F">
        <w:rPr>
          <w:rFonts w:ascii="Arial" w:hAnsi="Arial" w:cs="Arial"/>
          <w:szCs w:val="24"/>
        </w:rPr>
        <w:t>p</w:t>
      </w:r>
      <w:r w:rsidRPr="00951E48">
        <w:rPr>
          <w:rFonts w:ascii="Arial" w:hAnsi="Arial" w:cs="Arial"/>
          <w:szCs w:val="24"/>
        </w:rPr>
        <w:t xml:space="preserve">ermitted </w:t>
      </w:r>
      <w:r w:rsidR="00FB737F">
        <w:rPr>
          <w:rFonts w:ascii="Arial" w:hAnsi="Arial" w:cs="Arial"/>
          <w:szCs w:val="24"/>
        </w:rPr>
        <w:t>u</w:t>
      </w:r>
      <w:r w:rsidRPr="00951E48">
        <w:rPr>
          <w:rFonts w:ascii="Arial" w:hAnsi="Arial" w:cs="Arial"/>
          <w:szCs w:val="24"/>
        </w:rPr>
        <w:t>ses within MREAs</w:t>
      </w:r>
      <w:r>
        <w:rPr>
          <w:rFonts w:ascii="Arial" w:hAnsi="Arial" w:cs="Arial"/>
          <w:szCs w:val="24"/>
        </w:rPr>
        <w:t xml:space="preserve"> are limited, </w:t>
      </w:r>
      <w:r w:rsidRPr="00951E48">
        <w:rPr>
          <w:rFonts w:ascii="Arial" w:hAnsi="Arial" w:cs="Arial"/>
          <w:szCs w:val="24"/>
        </w:rPr>
        <w:t xml:space="preserve">except for those directly related to aggregate extraction </w:t>
      </w:r>
      <w:r>
        <w:rPr>
          <w:rFonts w:ascii="Arial" w:hAnsi="Arial" w:cs="Arial"/>
          <w:szCs w:val="24"/>
        </w:rPr>
        <w:t xml:space="preserve">and subsequent rehabilitation, and </w:t>
      </w:r>
      <w:r w:rsidRPr="00951E48">
        <w:rPr>
          <w:rFonts w:ascii="Arial" w:hAnsi="Arial" w:cs="Arial"/>
          <w:szCs w:val="24"/>
        </w:rPr>
        <w:t xml:space="preserve">generally reflect the interim nature of pits and quarries. </w:t>
      </w:r>
    </w:p>
    <w:p w14:paraId="61DDE825" w14:textId="77777777" w:rsidR="003535BF" w:rsidRDefault="00D15817" w:rsidP="003535BF">
      <w:pPr>
        <w:rPr>
          <w:rFonts w:ascii="Arial" w:hAnsi="Arial" w:cs="Arial"/>
          <w:szCs w:val="24"/>
        </w:rPr>
      </w:pPr>
      <w:r w:rsidRPr="00951E48">
        <w:rPr>
          <w:rFonts w:ascii="Arial" w:hAnsi="Arial" w:cs="Arial"/>
          <w:szCs w:val="24"/>
        </w:rPr>
        <w:t>NEP Part 1.9</w:t>
      </w:r>
      <w:r>
        <w:rPr>
          <w:rFonts w:ascii="Arial" w:hAnsi="Arial" w:cs="Arial"/>
          <w:szCs w:val="24"/>
        </w:rPr>
        <w:t xml:space="preserve">.5 </w:t>
      </w:r>
      <w:r w:rsidRPr="00951E48">
        <w:rPr>
          <w:rFonts w:ascii="Arial" w:hAnsi="Arial" w:cs="Arial"/>
          <w:szCs w:val="24"/>
        </w:rPr>
        <w:t>After Uses</w:t>
      </w:r>
      <w:r>
        <w:rPr>
          <w:rFonts w:ascii="Arial" w:hAnsi="Arial" w:cs="Arial"/>
          <w:szCs w:val="24"/>
        </w:rPr>
        <w:t xml:space="preserve"> identifies that following the surrender of the licence, an amendment is required to change the land use designation of the lot from MREA to a land use designation that has designation criteria consistent with the rehabilitation completed on the property and be processed in accordance with NEP Part 1.2.1. </w:t>
      </w:r>
    </w:p>
    <w:p w14:paraId="480F9B73" w14:textId="19CB58EE" w:rsidR="00C41815" w:rsidRPr="00C41815" w:rsidRDefault="003535BF" w:rsidP="003535BF">
      <w:pPr>
        <w:rPr>
          <w:rFonts w:ascii="Arial" w:hAnsi="Arial" w:cs="Arial"/>
          <w:szCs w:val="24"/>
          <w:u w:val="single"/>
          <w:lang w:val="en-US"/>
        </w:rPr>
      </w:pPr>
      <w:r w:rsidRPr="00C41815">
        <w:rPr>
          <w:rFonts w:ascii="Arial" w:hAnsi="Arial" w:cs="Arial"/>
          <w:szCs w:val="24"/>
          <w:u w:val="single"/>
          <w:lang w:val="en-US"/>
        </w:rPr>
        <w:t xml:space="preserve">Part 1.3 Escarpment Natural Area </w:t>
      </w:r>
    </w:p>
    <w:p w14:paraId="291F673F" w14:textId="4C952292" w:rsidR="00C41815" w:rsidRPr="00C41815" w:rsidRDefault="000244A5" w:rsidP="003535BF">
      <w:pPr>
        <w:rPr>
          <w:rFonts w:ascii="Arial" w:hAnsi="Arial" w:cs="Arial"/>
          <w:szCs w:val="24"/>
          <w:lang w:val="en-US"/>
        </w:rPr>
      </w:pPr>
      <w:r>
        <w:rPr>
          <w:rFonts w:ascii="Arial" w:eastAsia="Times New Roman" w:hAnsi="Arial" w:cs="Arial"/>
          <w:szCs w:val="24"/>
          <w:lang w:eastAsia="en-CA"/>
        </w:rPr>
        <w:t>Escarpment Natural Areas</w:t>
      </w:r>
      <w:r w:rsidR="00C41815" w:rsidRPr="00C41815">
        <w:rPr>
          <w:rFonts w:ascii="Arial" w:eastAsia="Times New Roman" w:hAnsi="Arial" w:cs="Arial"/>
          <w:szCs w:val="24"/>
          <w:lang w:eastAsia="en-CA"/>
        </w:rPr>
        <w:t xml:space="preserve"> include features </w:t>
      </w:r>
      <w:r w:rsidR="00C41815">
        <w:rPr>
          <w:rFonts w:ascii="Arial" w:eastAsia="Times New Roman" w:hAnsi="Arial" w:cs="Arial"/>
          <w:szCs w:val="24"/>
          <w:lang w:eastAsia="en-CA"/>
        </w:rPr>
        <w:t>that</w:t>
      </w:r>
      <w:r w:rsidR="00C41815" w:rsidRPr="00C41815">
        <w:rPr>
          <w:rFonts w:ascii="Arial" w:eastAsia="Times New Roman" w:hAnsi="Arial" w:cs="Arial"/>
          <w:szCs w:val="24"/>
          <w:lang w:eastAsia="en-CA"/>
        </w:rPr>
        <w:t xml:space="preserve"> are in a relatively natural state and </w:t>
      </w:r>
      <w:r w:rsidR="009E2115">
        <w:rPr>
          <w:rFonts w:ascii="Arial" w:eastAsia="Times New Roman" w:hAnsi="Arial" w:cs="Arial"/>
          <w:szCs w:val="24"/>
          <w:lang w:eastAsia="en-CA"/>
        </w:rPr>
        <w:t xml:space="preserve">are </w:t>
      </w:r>
      <w:r w:rsidR="00C41815" w:rsidRPr="00C41815">
        <w:rPr>
          <w:rFonts w:ascii="Arial" w:eastAsia="Times New Roman" w:hAnsi="Arial" w:cs="Arial"/>
          <w:szCs w:val="24"/>
          <w:lang w:eastAsia="en-CA"/>
        </w:rPr>
        <w:t xml:space="preserve">associated </w:t>
      </w:r>
      <w:r w:rsidR="00754B82">
        <w:rPr>
          <w:rFonts w:ascii="Arial" w:eastAsia="Times New Roman" w:hAnsi="Arial" w:cs="Arial"/>
          <w:szCs w:val="24"/>
          <w:lang w:eastAsia="en-CA"/>
        </w:rPr>
        <w:t xml:space="preserve">with </w:t>
      </w:r>
      <w:r w:rsidR="00C41815" w:rsidRPr="00C41815">
        <w:rPr>
          <w:rFonts w:ascii="Arial" w:eastAsia="Times New Roman" w:hAnsi="Arial" w:cs="Arial"/>
          <w:szCs w:val="24"/>
          <w:lang w:eastAsia="en-CA"/>
        </w:rPr>
        <w:t>undisturbed stream valleys, wetlands</w:t>
      </w:r>
      <w:r w:rsidR="00C41815">
        <w:rPr>
          <w:rFonts w:ascii="Arial" w:eastAsia="Times New Roman" w:hAnsi="Arial" w:cs="Arial"/>
          <w:szCs w:val="24"/>
          <w:lang w:eastAsia="en-CA"/>
        </w:rPr>
        <w:t>,</w:t>
      </w:r>
      <w:r w:rsidR="00C41815" w:rsidRPr="00C41815">
        <w:rPr>
          <w:rFonts w:ascii="Arial" w:eastAsia="Times New Roman" w:hAnsi="Arial" w:cs="Arial"/>
          <w:szCs w:val="24"/>
          <w:lang w:eastAsia="en-CA"/>
        </w:rPr>
        <w:t xml:space="preserve"> and forests.  These areas contain important wildlife habitat and geological and cultural heritage features and are the most </w:t>
      </w:r>
      <w:r w:rsidR="00C41815" w:rsidRPr="00C41815">
        <w:rPr>
          <w:rFonts w:ascii="Arial" w:eastAsia="Times New Roman" w:hAnsi="Arial" w:cs="Arial"/>
          <w:szCs w:val="24"/>
          <w:lang w:eastAsia="en-CA"/>
        </w:rPr>
        <w:lastRenderedPageBreak/>
        <w:t xml:space="preserve">significant natural and scenic areas of the Escarpment.  The </w:t>
      </w:r>
      <w:r>
        <w:rPr>
          <w:rFonts w:ascii="Arial" w:eastAsia="Times New Roman" w:hAnsi="Arial" w:cs="Arial"/>
          <w:szCs w:val="24"/>
          <w:lang w:eastAsia="en-CA"/>
        </w:rPr>
        <w:t xml:space="preserve">Land Use </w:t>
      </w:r>
      <w:r w:rsidR="00C41815">
        <w:rPr>
          <w:rFonts w:ascii="Arial" w:eastAsia="Times New Roman" w:hAnsi="Arial" w:cs="Arial"/>
          <w:szCs w:val="24"/>
          <w:lang w:eastAsia="en-CA"/>
        </w:rPr>
        <w:t>Designation C</w:t>
      </w:r>
      <w:r w:rsidR="00C41815" w:rsidRPr="00C41815">
        <w:rPr>
          <w:rFonts w:ascii="Arial" w:eastAsia="Times New Roman" w:hAnsi="Arial" w:cs="Arial"/>
          <w:szCs w:val="24"/>
          <w:lang w:eastAsia="en-CA"/>
        </w:rPr>
        <w:t xml:space="preserve">riteria relate back to the Purpose of the </w:t>
      </w:r>
      <w:r w:rsidR="00C41815">
        <w:rPr>
          <w:rFonts w:ascii="Arial" w:eastAsia="Times New Roman" w:hAnsi="Arial" w:cs="Arial"/>
          <w:szCs w:val="24"/>
          <w:lang w:eastAsia="en-CA"/>
        </w:rPr>
        <w:t xml:space="preserve">NEPDA </w:t>
      </w:r>
      <w:r w:rsidR="00C41815" w:rsidRPr="00C41815">
        <w:rPr>
          <w:rFonts w:ascii="Arial" w:eastAsia="Times New Roman" w:hAnsi="Arial" w:cs="Arial"/>
          <w:szCs w:val="24"/>
          <w:lang w:eastAsia="en-CA"/>
        </w:rPr>
        <w:t>and the NEP</w:t>
      </w:r>
      <w:r w:rsidR="00C41815">
        <w:rPr>
          <w:rFonts w:ascii="Arial" w:eastAsia="Times New Roman" w:hAnsi="Arial" w:cs="Arial"/>
          <w:szCs w:val="24"/>
          <w:lang w:eastAsia="en-CA"/>
        </w:rPr>
        <w:t>;</w:t>
      </w:r>
      <w:r w:rsidR="00C41815" w:rsidRPr="00C41815">
        <w:rPr>
          <w:rFonts w:ascii="Arial" w:eastAsia="Times New Roman" w:hAnsi="Arial" w:cs="Arial"/>
          <w:szCs w:val="24"/>
          <w:lang w:eastAsia="en-CA"/>
        </w:rPr>
        <w:t xml:space="preserve"> to maintain the Niagara Escarpment substantially as a continuous natural environment.</w:t>
      </w:r>
    </w:p>
    <w:p w14:paraId="0B2D313E" w14:textId="3496CE64" w:rsidR="003535BF" w:rsidRPr="00C41815" w:rsidRDefault="00C41815" w:rsidP="003535BF">
      <w:pPr>
        <w:rPr>
          <w:rFonts w:ascii="Arial" w:hAnsi="Arial" w:cs="Arial"/>
          <w:szCs w:val="24"/>
          <w:u w:val="single"/>
          <w:lang w:val="en-US"/>
        </w:rPr>
      </w:pPr>
      <w:r w:rsidRPr="00C41815">
        <w:rPr>
          <w:rFonts w:ascii="Arial" w:hAnsi="Arial" w:cs="Arial"/>
          <w:szCs w:val="24"/>
          <w:u w:val="single"/>
          <w:lang w:val="en-US"/>
        </w:rPr>
        <w:t xml:space="preserve">Part 1.3.2 </w:t>
      </w:r>
      <w:r w:rsidR="003535BF" w:rsidRPr="00C41815">
        <w:rPr>
          <w:rFonts w:ascii="Arial" w:hAnsi="Arial" w:cs="Arial"/>
          <w:szCs w:val="24"/>
          <w:u w:val="single"/>
          <w:lang w:val="en-US"/>
        </w:rPr>
        <w:t>Criteria for Designation</w:t>
      </w:r>
    </w:p>
    <w:p w14:paraId="54634DAB" w14:textId="683034C7" w:rsidR="00C41815" w:rsidRPr="00E569B0" w:rsidRDefault="00C41815" w:rsidP="00C41815">
      <w:pPr>
        <w:numPr>
          <w:ilvl w:val="0"/>
          <w:numId w:val="23"/>
        </w:numPr>
        <w:tabs>
          <w:tab w:val="num" w:pos="360"/>
          <w:tab w:val="num" w:pos="2160"/>
        </w:tabs>
        <w:spacing w:after="0"/>
        <w:ind w:left="357" w:hanging="357"/>
        <w:rPr>
          <w:rFonts w:ascii="Arial" w:eastAsia="Times New Roman" w:hAnsi="Arial" w:cs="Arial"/>
          <w:szCs w:val="24"/>
          <w:lang w:val="en-US"/>
        </w:rPr>
      </w:pPr>
      <w:r w:rsidRPr="00E569B0">
        <w:rPr>
          <w:rFonts w:ascii="Arial" w:eastAsia="Times New Roman" w:hAnsi="Arial" w:cs="Arial"/>
          <w:szCs w:val="24"/>
          <w:lang w:val="en-US"/>
        </w:rPr>
        <w:t xml:space="preserve">Escarpment slopes and </w:t>
      </w:r>
      <w:r>
        <w:rPr>
          <w:rFonts w:ascii="Arial" w:eastAsia="Times New Roman" w:hAnsi="Arial" w:cs="Arial"/>
          <w:szCs w:val="24"/>
          <w:lang w:val="en-US"/>
        </w:rPr>
        <w:t>Escarpment-related</w:t>
      </w:r>
      <w:r w:rsidRPr="00E569B0">
        <w:rPr>
          <w:rFonts w:ascii="Arial" w:eastAsia="Times New Roman" w:hAnsi="Arial" w:cs="Arial"/>
          <w:szCs w:val="24"/>
          <w:lang w:val="en-US"/>
        </w:rPr>
        <w:t xml:space="preserve"> landforms associated with the underlying bedrock that </w:t>
      </w:r>
      <w:r>
        <w:rPr>
          <w:rFonts w:ascii="Arial" w:eastAsia="Times New Roman" w:hAnsi="Arial" w:cs="Arial"/>
          <w:szCs w:val="24"/>
          <w:lang w:val="en-US"/>
        </w:rPr>
        <w:t>are</w:t>
      </w:r>
      <w:r w:rsidRPr="00E569B0">
        <w:rPr>
          <w:rFonts w:ascii="Arial" w:eastAsia="Times New Roman" w:hAnsi="Arial" w:cs="Arial"/>
          <w:szCs w:val="24"/>
          <w:lang w:val="en-US"/>
        </w:rPr>
        <w:t xml:space="preserve"> in a relatively natural state.</w:t>
      </w:r>
    </w:p>
    <w:p w14:paraId="00A789D1" w14:textId="77777777" w:rsidR="00C41815" w:rsidRPr="00E569B0" w:rsidRDefault="00C41815" w:rsidP="00C41815">
      <w:pPr>
        <w:numPr>
          <w:ilvl w:val="0"/>
          <w:numId w:val="23"/>
        </w:numPr>
        <w:tabs>
          <w:tab w:val="num" w:pos="360"/>
          <w:tab w:val="num" w:pos="2160"/>
        </w:tabs>
        <w:spacing w:after="0"/>
        <w:ind w:left="357" w:hanging="357"/>
        <w:rPr>
          <w:rFonts w:ascii="Arial" w:eastAsia="Times New Roman" w:hAnsi="Arial" w:cs="Arial"/>
          <w:szCs w:val="24"/>
          <w:lang w:val="en-US"/>
        </w:rPr>
      </w:pPr>
      <w:r w:rsidRPr="00E569B0">
        <w:rPr>
          <w:rFonts w:ascii="Arial" w:eastAsia="Times New Roman" w:hAnsi="Arial" w:cs="Arial"/>
          <w:szCs w:val="24"/>
        </w:rPr>
        <w:t xml:space="preserve">Where </w:t>
      </w:r>
      <w:r>
        <w:rPr>
          <w:rFonts w:ascii="Arial" w:eastAsia="Times New Roman" w:hAnsi="Arial" w:cs="Arial"/>
          <w:szCs w:val="24"/>
        </w:rPr>
        <w:t>woodlands</w:t>
      </w:r>
      <w:r w:rsidRPr="00E569B0">
        <w:rPr>
          <w:rFonts w:ascii="Arial" w:eastAsia="Times New Roman" w:hAnsi="Arial" w:cs="Arial"/>
          <w:szCs w:val="24"/>
        </w:rPr>
        <w:t xml:space="preserve"> abut the Escarpment, the designation includes the </w:t>
      </w:r>
      <w:r>
        <w:rPr>
          <w:rFonts w:ascii="Arial" w:eastAsia="Times New Roman" w:hAnsi="Arial" w:cs="Arial"/>
          <w:szCs w:val="24"/>
        </w:rPr>
        <w:t>woodlands</w:t>
      </w:r>
      <w:r w:rsidRPr="00E569B0">
        <w:rPr>
          <w:rFonts w:ascii="Arial" w:eastAsia="Times New Roman" w:hAnsi="Arial" w:cs="Arial"/>
          <w:szCs w:val="24"/>
        </w:rPr>
        <w:t xml:space="preserve"> 300 metres back from the brow of the Escarpment slope</w:t>
      </w:r>
      <w:r>
        <w:rPr>
          <w:rFonts w:ascii="Arial" w:eastAsia="Times New Roman" w:hAnsi="Arial" w:cs="Arial"/>
          <w:szCs w:val="24"/>
        </w:rPr>
        <w:t>s</w:t>
      </w:r>
      <w:r w:rsidRPr="00E569B0">
        <w:rPr>
          <w:rFonts w:ascii="Arial" w:eastAsia="Times New Roman" w:hAnsi="Arial" w:cs="Arial"/>
          <w:szCs w:val="24"/>
        </w:rPr>
        <w:t xml:space="preserve">. </w:t>
      </w:r>
    </w:p>
    <w:p w14:paraId="365ED198" w14:textId="77777777" w:rsidR="00C41815" w:rsidRDefault="00C41815" w:rsidP="00C41815">
      <w:pPr>
        <w:numPr>
          <w:ilvl w:val="0"/>
          <w:numId w:val="23"/>
        </w:numPr>
        <w:tabs>
          <w:tab w:val="num" w:pos="360"/>
        </w:tabs>
        <w:spacing w:after="0"/>
        <w:ind w:left="357" w:hanging="357"/>
        <w:rPr>
          <w:rFonts w:ascii="Arial" w:eastAsia="Times New Roman" w:hAnsi="Arial" w:cs="Arial"/>
          <w:szCs w:val="24"/>
          <w:lang w:val="en-US"/>
        </w:rPr>
      </w:pPr>
      <w:r>
        <w:rPr>
          <w:rFonts w:ascii="Arial" w:eastAsia="Times New Roman" w:hAnsi="Arial" w:cs="Arial"/>
          <w:szCs w:val="24"/>
          <w:lang w:val="en-US"/>
        </w:rPr>
        <w:t>Provincially Significant A</w:t>
      </w:r>
      <w:r w:rsidRPr="00E569B0">
        <w:rPr>
          <w:rFonts w:ascii="Arial" w:eastAsia="Times New Roman" w:hAnsi="Arial" w:cs="Arial"/>
          <w:szCs w:val="24"/>
          <w:lang w:val="en-US"/>
        </w:rPr>
        <w:t xml:space="preserve">reas of Natural and Scientific Interest (Life Science). </w:t>
      </w:r>
    </w:p>
    <w:p w14:paraId="6E9B96AC" w14:textId="60BDFF8B" w:rsidR="00C41815" w:rsidRDefault="00C41815" w:rsidP="00C41815">
      <w:pPr>
        <w:numPr>
          <w:ilvl w:val="0"/>
          <w:numId w:val="23"/>
        </w:numPr>
        <w:tabs>
          <w:tab w:val="num" w:pos="360"/>
        </w:tabs>
        <w:spacing w:after="0"/>
        <w:ind w:left="357" w:hanging="357"/>
        <w:rPr>
          <w:rFonts w:ascii="Arial" w:eastAsia="Times New Roman" w:hAnsi="Arial" w:cs="Arial"/>
          <w:szCs w:val="24"/>
          <w:lang w:val="en-US"/>
        </w:rPr>
      </w:pPr>
      <w:r>
        <w:rPr>
          <w:rFonts w:ascii="Arial" w:eastAsia="Times New Roman" w:hAnsi="Arial" w:cs="Arial"/>
          <w:szCs w:val="24"/>
          <w:lang w:val="en-US"/>
        </w:rPr>
        <w:t xml:space="preserve">Significant Valleylands, provincially significant wetlands, and wetlands greater than 20 ha in size. </w:t>
      </w:r>
    </w:p>
    <w:p w14:paraId="64900F3F" w14:textId="77777777" w:rsidR="00C41815" w:rsidRDefault="00C41815" w:rsidP="003535BF">
      <w:pPr>
        <w:spacing w:after="0"/>
        <w:rPr>
          <w:rFonts w:ascii="Arial" w:eastAsia="Times New Roman" w:hAnsi="Arial" w:cs="Arial"/>
          <w:szCs w:val="24"/>
          <w:lang w:val="en-US"/>
        </w:rPr>
      </w:pPr>
    </w:p>
    <w:p w14:paraId="118695AA" w14:textId="3F8A49CB" w:rsidR="003535BF" w:rsidRDefault="003535BF" w:rsidP="003535BF">
      <w:pPr>
        <w:spacing w:after="0"/>
        <w:rPr>
          <w:rFonts w:ascii="Arial" w:eastAsia="Times New Roman" w:hAnsi="Arial" w:cs="Arial"/>
          <w:szCs w:val="24"/>
          <w:lang w:val="en-US"/>
        </w:rPr>
      </w:pPr>
      <w:r>
        <w:rPr>
          <w:rFonts w:ascii="Arial" w:eastAsia="Times New Roman" w:hAnsi="Arial" w:cs="Arial"/>
          <w:szCs w:val="24"/>
          <w:lang w:val="en-US"/>
        </w:rPr>
        <w:t xml:space="preserve">The applicant has proposed that the Escarpment Natural Area designation be applied to </w:t>
      </w:r>
      <w:r w:rsidR="00092814">
        <w:rPr>
          <w:rFonts w:ascii="Arial" w:eastAsia="Times New Roman" w:hAnsi="Arial" w:cs="Arial"/>
          <w:szCs w:val="24"/>
          <w:lang w:val="en-US"/>
        </w:rPr>
        <w:t>a</w:t>
      </w:r>
      <w:r w:rsidR="00B75F07">
        <w:rPr>
          <w:rFonts w:ascii="Arial" w:eastAsia="Times New Roman" w:hAnsi="Arial" w:cs="Arial"/>
          <w:szCs w:val="24"/>
          <w:lang w:val="en-US"/>
        </w:rPr>
        <w:t>n area of approximately</w:t>
      </w:r>
      <w:r w:rsidR="00092814">
        <w:rPr>
          <w:rFonts w:ascii="Arial" w:eastAsia="Times New Roman" w:hAnsi="Arial" w:cs="Arial"/>
          <w:szCs w:val="24"/>
          <w:lang w:val="en-US"/>
        </w:rPr>
        <w:t xml:space="preserve"> 1.1 ha (2.7 ac) </w:t>
      </w:r>
      <w:r w:rsidR="00B75F07">
        <w:rPr>
          <w:rFonts w:ascii="Arial" w:eastAsia="Times New Roman" w:hAnsi="Arial" w:cs="Arial"/>
          <w:szCs w:val="24"/>
          <w:lang w:val="en-US"/>
        </w:rPr>
        <w:t>in size</w:t>
      </w:r>
      <w:r>
        <w:rPr>
          <w:rFonts w:ascii="Arial" w:eastAsia="Times New Roman" w:hAnsi="Arial" w:cs="Arial"/>
          <w:szCs w:val="24"/>
          <w:lang w:val="en-US"/>
        </w:rPr>
        <w:t xml:space="preserve"> </w:t>
      </w:r>
      <w:r w:rsidR="00092814">
        <w:rPr>
          <w:rFonts w:ascii="Arial" w:eastAsia="Times New Roman" w:hAnsi="Arial" w:cs="Arial"/>
          <w:szCs w:val="24"/>
          <w:lang w:val="en-US"/>
        </w:rPr>
        <w:t>containing</w:t>
      </w:r>
      <w:r>
        <w:rPr>
          <w:rFonts w:ascii="Arial" w:eastAsia="Times New Roman" w:hAnsi="Arial" w:cs="Arial"/>
          <w:szCs w:val="24"/>
          <w:lang w:val="en-US"/>
        </w:rPr>
        <w:t xml:space="preserve"> </w:t>
      </w:r>
      <w:r w:rsidR="00092814">
        <w:rPr>
          <w:rFonts w:ascii="Arial" w:eastAsia="Times New Roman" w:hAnsi="Arial" w:cs="Arial"/>
          <w:szCs w:val="24"/>
          <w:lang w:val="en-US"/>
        </w:rPr>
        <w:t>a</w:t>
      </w:r>
      <w:r>
        <w:rPr>
          <w:rFonts w:ascii="Arial" w:eastAsia="Times New Roman" w:hAnsi="Arial" w:cs="Arial"/>
          <w:szCs w:val="24"/>
          <w:lang w:val="en-US"/>
        </w:rPr>
        <w:t xml:space="preserve"> tributary of Sixteen Mile Creek, which is considered a key hydrologic feature within the context of the NEP (in accordance with Part 2.6.1). The applicant provides the rationale that the Escarpment Natural Area is appropriate given that this area remains relatively undisturbed and contains natural features, providing a connection to the ANSI and PSW features</w:t>
      </w:r>
      <w:r w:rsidR="00092814">
        <w:rPr>
          <w:rFonts w:ascii="Arial" w:eastAsia="Times New Roman" w:hAnsi="Arial" w:cs="Arial"/>
          <w:szCs w:val="24"/>
          <w:lang w:val="en-US"/>
        </w:rPr>
        <w:t>, and that a</w:t>
      </w:r>
      <w:r>
        <w:rPr>
          <w:rFonts w:ascii="Arial" w:eastAsia="Times New Roman" w:hAnsi="Arial" w:cs="Arial"/>
          <w:szCs w:val="24"/>
          <w:lang w:val="en-US"/>
        </w:rPr>
        <w:t xml:space="preserve">dditionally, </w:t>
      </w:r>
      <w:r w:rsidR="00092814">
        <w:rPr>
          <w:rFonts w:ascii="Arial" w:eastAsia="Times New Roman" w:hAnsi="Arial" w:cs="Arial"/>
          <w:szCs w:val="24"/>
          <w:lang w:val="en-US"/>
        </w:rPr>
        <w:t xml:space="preserve">this portion of the lands </w:t>
      </w:r>
      <w:r>
        <w:rPr>
          <w:rFonts w:ascii="Arial" w:eastAsia="Times New Roman" w:hAnsi="Arial" w:cs="Arial"/>
          <w:szCs w:val="24"/>
          <w:lang w:val="en-US"/>
        </w:rPr>
        <w:t xml:space="preserve">offers an enhancement opportunity to the Escarpment natural heritage system.  </w:t>
      </w:r>
    </w:p>
    <w:p w14:paraId="7AD8C860" w14:textId="77777777" w:rsidR="00092814" w:rsidRDefault="00092814" w:rsidP="00092814">
      <w:pPr>
        <w:spacing w:after="0"/>
        <w:rPr>
          <w:rFonts w:ascii="Arial" w:eastAsia="Times New Roman" w:hAnsi="Arial" w:cs="Arial"/>
          <w:szCs w:val="24"/>
          <w:lang w:val="en-US"/>
        </w:rPr>
      </w:pPr>
    </w:p>
    <w:p w14:paraId="44FB6F10" w14:textId="12AFCA96" w:rsidR="00092814" w:rsidRDefault="00C41815" w:rsidP="00092814">
      <w:pPr>
        <w:spacing w:after="0"/>
        <w:rPr>
          <w:rFonts w:ascii="Arial" w:hAnsi="Arial" w:cs="Arial"/>
          <w:szCs w:val="24"/>
          <w:lang w:val="en-US"/>
        </w:rPr>
      </w:pPr>
      <w:r>
        <w:rPr>
          <w:rFonts w:ascii="Arial" w:eastAsia="Times New Roman" w:hAnsi="Arial" w:cs="Arial"/>
          <w:szCs w:val="24"/>
          <w:lang w:val="en-US"/>
        </w:rPr>
        <w:t>In considering the applicant’s proposal for the Escarpment Natural Area designation, staff notes that</w:t>
      </w:r>
      <w:r w:rsidR="00092814" w:rsidRPr="00961DCC">
        <w:rPr>
          <w:rFonts w:ascii="Arial" w:eastAsia="Times New Roman" w:hAnsi="Arial" w:cs="Arial"/>
          <w:szCs w:val="24"/>
          <w:lang w:val="en-US"/>
        </w:rPr>
        <w:t xml:space="preserve"> the tributary and pond situated in the relatively undisturbed portion of the subject lands are not </w:t>
      </w:r>
      <w:r w:rsidR="00092814">
        <w:rPr>
          <w:rFonts w:ascii="Arial" w:eastAsia="Times New Roman" w:hAnsi="Arial" w:cs="Arial"/>
          <w:szCs w:val="24"/>
          <w:lang w:val="en-US"/>
        </w:rPr>
        <w:t xml:space="preserve">identified </w:t>
      </w:r>
      <w:r w:rsidR="00092814" w:rsidRPr="00961DCC">
        <w:rPr>
          <w:rFonts w:ascii="Arial" w:eastAsia="Times New Roman" w:hAnsi="Arial" w:cs="Arial"/>
          <w:szCs w:val="24"/>
          <w:lang w:val="en-US"/>
        </w:rPr>
        <w:t xml:space="preserve">natural heritage features or areas </w:t>
      </w:r>
      <w:r w:rsidR="00092814">
        <w:rPr>
          <w:rFonts w:ascii="Arial" w:eastAsia="Times New Roman" w:hAnsi="Arial" w:cs="Arial"/>
          <w:szCs w:val="24"/>
          <w:lang w:val="en-US"/>
        </w:rPr>
        <w:t xml:space="preserve">that </w:t>
      </w:r>
      <w:r w:rsidR="000244A5">
        <w:rPr>
          <w:rFonts w:ascii="Arial" w:eastAsia="Times New Roman" w:hAnsi="Arial" w:cs="Arial"/>
          <w:szCs w:val="24"/>
          <w:lang w:val="en-US"/>
        </w:rPr>
        <w:t xml:space="preserve">technically </w:t>
      </w:r>
      <w:r w:rsidR="00092814" w:rsidRPr="00961DCC">
        <w:rPr>
          <w:rFonts w:ascii="Arial" w:eastAsia="Times New Roman" w:hAnsi="Arial" w:cs="Arial"/>
          <w:szCs w:val="24"/>
          <w:lang w:val="en-US"/>
        </w:rPr>
        <w:t xml:space="preserve">meet the Criteria for </w:t>
      </w:r>
      <w:r w:rsidR="00092814">
        <w:rPr>
          <w:rFonts w:ascii="Arial" w:eastAsia="Times New Roman" w:hAnsi="Arial" w:cs="Arial"/>
          <w:szCs w:val="24"/>
          <w:lang w:val="en-US"/>
        </w:rPr>
        <w:t xml:space="preserve">designation as </w:t>
      </w:r>
      <w:r w:rsidR="00092814" w:rsidRPr="00961DCC">
        <w:rPr>
          <w:rFonts w:ascii="Arial" w:eastAsia="Times New Roman" w:hAnsi="Arial" w:cs="Arial"/>
          <w:szCs w:val="24"/>
          <w:lang w:val="en-US"/>
        </w:rPr>
        <w:t>Escarpment Natural Area (e.g.</w:t>
      </w:r>
      <w:r w:rsidR="00092814">
        <w:rPr>
          <w:rFonts w:ascii="Arial" w:eastAsia="Times New Roman" w:hAnsi="Arial" w:cs="Arial"/>
          <w:szCs w:val="24"/>
          <w:lang w:val="en-US"/>
        </w:rPr>
        <w:t>,</w:t>
      </w:r>
      <w:r w:rsidR="00092814" w:rsidRPr="00961DCC">
        <w:rPr>
          <w:rFonts w:ascii="Arial" w:eastAsia="Times New Roman" w:hAnsi="Arial" w:cs="Arial"/>
          <w:szCs w:val="24"/>
          <w:lang w:val="en-US"/>
        </w:rPr>
        <w:t xml:space="preserve"> </w:t>
      </w:r>
      <w:r w:rsidR="00092814">
        <w:rPr>
          <w:rFonts w:ascii="Arial" w:eastAsia="Times New Roman" w:hAnsi="Arial" w:cs="Arial"/>
          <w:szCs w:val="24"/>
          <w:lang w:val="en-US"/>
        </w:rPr>
        <w:t xml:space="preserve">not provincially significant </w:t>
      </w:r>
      <w:r w:rsidR="00092814" w:rsidRPr="00961DCC">
        <w:rPr>
          <w:rFonts w:ascii="Arial" w:eastAsia="Times New Roman" w:hAnsi="Arial" w:cs="Arial"/>
          <w:szCs w:val="24"/>
          <w:lang w:val="en-US"/>
        </w:rPr>
        <w:t>wetland or ANSI</w:t>
      </w:r>
      <w:r w:rsidR="00092814">
        <w:rPr>
          <w:rFonts w:ascii="Arial" w:eastAsia="Times New Roman" w:hAnsi="Arial" w:cs="Arial"/>
          <w:szCs w:val="24"/>
          <w:lang w:val="en-US"/>
        </w:rPr>
        <w:t xml:space="preserve"> as per Criterion 3 or 4, or woodlands 300 m back from the brow of the Escarpment slopes as per Criterion 2)</w:t>
      </w:r>
      <w:r w:rsidR="00092814" w:rsidRPr="00961DCC">
        <w:rPr>
          <w:rFonts w:ascii="Arial" w:eastAsia="Times New Roman" w:hAnsi="Arial" w:cs="Arial"/>
          <w:szCs w:val="24"/>
          <w:lang w:val="en-US"/>
        </w:rPr>
        <w:t xml:space="preserve">. </w:t>
      </w:r>
      <w:r w:rsidR="00092814">
        <w:rPr>
          <w:rFonts w:ascii="Arial" w:hAnsi="Arial" w:cs="Arial"/>
          <w:szCs w:val="24"/>
          <w:lang w:val="en-US"/>
        </w:rPr>
        <w:t>The adjacent Escarpment Natural Area to the north is designated as such because of the Provincially Significant Life Science ANSI designation (</w:t>
      </w:r>
      <w:r w:rsidR="000244A5">
        <w:rPr>
          <w:rFonts w:ascii="Arial" w:hAnsi="Arial" w:cs="Arial"/>
          <w:szCs w:val="24"/>
          <w:lang w:val="en-US"/>
        </w:rPr>
        <w:t xml:space="preserve">i.e., </w:t>
      </w:r>
      <w:r w:rsidR="00092814">
        <w:rPr>
          <w:rFonts w:ascii="Arial" w:hAnsi="Arial" w:cs="Arial"/>
          <w:szCs w:val="24"/>
          <w:lang w:val="en-US"/>
        </w:rPr>
        <w:t xml:space="preserve">the lands meet Escarpment Natural Area Criterion 3). </w:t>
      </w:r>
    </w:p>
    <w:p w14:paraId="7CE087C9" w14:textId="77777777" w:rsidR="00092814" w:rsidRDefault="00092814" w:rsidP="00092814">
      <w:pPr>
        <w:spacing w:after="0"/>
        <w:rPr>
          <w:rFonts w:ascii="Arial" w:hAnsi="Arial" w:cs="Arial"/>
          <w:szCs w:val="24"/>
          <w:lang w:val="en-US"/>
        </w:rPr>
      </w:pPr>
    </w:p>
    <w:p w14:paraId="4CC61517" w14:textId="78FF7096" w:rsidR="00092814" w:rsidRDefault="00092814" w:rsidP="00092814">
      <w:pPr>
        <w:spacing w:after="0"/>
      </w:pPr>
      <w:r>
        <w:rPr>
          <w:rFonts w:ascii="Arial" w:eastAsia="Times New Roman" w:hAnsi="Arial" w:cs="Arial"/>
          <w:szCs w:val="24"/>
          <w:lang w:val="en-US"/>
        </w:rPr>
        <w:t xml:space="preserve">However, staff notes that the Escarpment Natural Area designation applied to </w:t>
      </w:r>
      <w:r w:rsidR="000244A5">
        <w:rPr>
          <w:rFonts w:ascii="Arial" w:eastAsia="Times New Roman" w:hAnsi="Arial" w:cs="Arial"/>
          <w:szCs w:val="24"/>
          <w:lang w:val="en-US"/>
        </w:rPr>
        <w:t>the area containing the tributary of Sixteen Mile Creek</w:t>
      </w:r>
      <w:r>
        <w:rPr>
          <w:rFonts w:ascii="Arial" w:eastAsia="Times New Roman" w:hAnsi="Arial" w:cs="Arial"/>
          <w:szCs w:val="24"/>
          <w:lang w:val="en-US"/>
        </w:rPr>
        <w:t xml:space="preserve"> supports the Escarpment Natural Area</w:t>
      </w:r>
      <w:r w:rsidRPr="00961DCC">
        <w:rPr>
          <w:rFonts w:ascii="Arial" w:eastAsia="Times New Roman" w:hAnsi="Arial" w:cs="Arial"/>
          <w:szCs w:val="24"/>
          <w:lang w:val="en-US"/>
        </w:rPr>
        <w:t xml:space="preserve"> </w:t>
      </w:r>
      <w:r>
        <w:rPr>
          <w:rFonts w:ascii="Arial" w:eastAsia="Times New Roman" w:hAnsi="Arial" w:cs="Arial"/>
          <w:szCs w:val="24"/>
          <w:lang w:val="en-US"/>
        </w:rPr>
        <w:t>D</w:t>
      </w:r>
      <w:r w:rsidRPr="00961DCC">
        <w:rPr>
          <w:rFonts w:ascii="Arial" w:eastAsia="Times New Roman" w:hAnsi="Arial" w:cs="Arial"/>
          <w:szCs w:val="24"/>
          <w:lang w:val="en-US"/>
        </w:rPr>
        <w:t>esignation Objective 1</w:t>
      </w:r>
      <w:r>
        <w:rPr>
          <w:rFonts w:ascii="Arial" w:eastAsia="Times New Roman" w:hAnsi="Arial" w:cs="Arial"/>
          <w:szCs w:val="24"/>
          <w:lang w:val="en-US"/>
        </w:rPr>
        <w:t>:</w:t>
      </w:r>
      <w:r w:rsidRPr="00FB2605">
        <w:t xml:space="preserve"> </w:t>
      </w:r>
      <w:r>
        <w:t xml:space="preserve">to recognize, protect, and where possible enhance the natural heritage and hydrological systems associated with the NEP area; and Objective 5: to maintain and enhance the scenic resources and open landscape character of the Escarpment. </w:t>
      </w:r>
      <w:r w:rsidR="000244A5">
        <w:t xml:space="preserve">Further, the Escarpment Natural Area designation </w:t>
      </w:r>
      <w:r w:rsidR="000244A5">
        <w:rPr>
          <w:rFonts w:ascii="Arial" w:eastAsia="Times New Roman" w:hAnsi="Arial" w:cs="Arial"/>
          <w:szCs w:val="24"/>
          <w:lang w:val="en-US"/>
        </w:rPr>
        <w:t>would be</w:t>
      </w:r>
      <w:r w:rsidR="000244A5" w:rsidRPr="00961DCC">
        <w:rPr>
          <w:rFonts w:ascii="Arial" w:eastAsia="Times New Roman" w:hAnsi="Arial" w:cs="Arial"/>
          <w:szCs w:val="24"/>
          <w:lang w:val="en-US"/>
        </w:rPr>
        <w:t xml:space="preserve"> consistent with the</w:t>
      </w:r>
      <w:r w:rsidR="000244A5">
        <w:rPr>
          <w:rFonts w:ascii="Arial" w:eastAsia="Times New Roman" w:hAnsi="Arial" w:cs="Arial"/>
          <w:szCs w:val="24"/>
          <w:lang w:val="en-US"/>
        </w:rPr>
        <w:t xml:space="preserve"> Town of Milton O</w:t>
      </w:r>
      <w:r w:rsidR="00754B82">
        <w:rPr>
          <w:rFonts w:ascii="Arial" w:eastAsia="Times New Roman" w:hAnsi="Arial" w:cs="Arial"/>
          <w:szCs w:val="24"/>
          <w:lang w:val="en-US"/>
        </w:rPr>
        <w:t xml:space="preserve">fficial </w:t>
      </w:r>
      <w:r w:rsidR="000244A5">
        <w:rPr>
          <w:rFonts w:ascii="Arial" w:eastAsia="Times New Roman" w:hAnsi="Arial" w:cs="Arial"/>
          <w:szCs w:val="24"/>
          <w:lang w:val="en-US"/>
        </w:rPr>
        <w:t>P</w:t>
      </w:r>
      <w:r w:rsidR="00754B82">
        <w:rPr>
          <w:rFonts w:ascii="Arial" w:eastAsia="Times New Roman" w:hAnsi="Arial" w:cs="Arial"/>
          <w:szCs w:val="24"/>
          <w:lang w:val="en-US"/>
        </w:rPr>
        <w:t>lan</w:t>
      </w:r>
      <w:r w:rsidR="000244A5">
        <w:rPr>
          <w:rFonts w:ascii="Arial" w:eastAsia="Times New Roman" w:hAnsi="Arial" w:cs="Arial"/>
          <w:szCs w:val="24"/>
          <w:lang w:val="en-US"/>
        </w:rPr>
        <w:t xml:space="preserve"> Greenlands A designation for this portion of the subject lands.</w:t>
      </w:r>
      <w:r w:rsidR="000244A5">
        <w:t xml:space="preserve"> </w:t>
      </w:r>
      <w:r>
        <w:t xml:space="preserve">Therefore, </w:t>
      </w:r>
      <w:r w:rsidR="000244A5">
        <w:t>s</w:t>
      </w:r>
      <w:r>
        <w:t xml:space="preserve">taff recommends </w:t>
      </w:r>
      <w:r w:rsidR="000244A5">
        <w:t xml:space="preserve">that </w:t>
      </w:r>
      <w:r>
        <w:t xml:space="preserve">the Escarpment Natural Area </w:t>
      </w:r>
      <w:r>
        <w:lastRenderedPageBreak/>
        <w:t xml:space="preserve">designation be applied to </w:t>
      </w:r>
      <w:r w:rsidR="00B75F07">
        <w:t xml:space="preserve">the </w:t>
      </w:r>
      <w:r>
        <w:t xml:space="preserve">portion of the subject lands as per </w:t>
      </w:r>
      <w:r w:rsidR="00B75F07">
        <w:t xml:space="preserve">the attached </w:t>
      </w:r>
      <w:r>
        <w:t>Schedule A</w:t>
      </w:r>
      <w:r w:rsidR="00B75F07">
        <w:t xml:space="preserve"> map</w:t>
      </w:r>
      <w:r>
        <w:t xml:space="preserve">. </w:t>
      </w:r>
    </w:p>
    <w:p w14:paraId="4DD838A6" w14:textId="7B021D61" w:rsidR="00661E5D" w:rsidRDefault="00661E5D" w:rsidP="001D7C99">
      <w:pPr>
        <w:spacing w:after="0" w:line="240" w:lineRule="auto"/>
      </w:pPr>
    </w:p>
    <w:p w14:paraId="279C222B" w14:textId="28EC18AE" w:rsidR="00EC49B1" w:rsidRDefault="00661E5D" w:rsidP="00EC49B1">
      <w:pPr>
        <w:rPr>
          <w:rFonts w:ascii="Arial" w:hAnsi="Arial" w:cs="Arial"/>
          <w:szCs w:val="24"/>
          <w:lang w:val="en-US"/>
        </w:rPr>
      </w:pPr>
      <w:r>
        <w:t>The extent of the Escarpment Natural Area designation on the final proposed Schedule A map has been refined slightly from the map proposed by the applicant</w:t>
      </w:r>
      <w:r w:rsidR="00EC49B1">
        <w:t xml:space="preserve"> at the initial staff report phase</w:t>
      </w:r>
      <w:r>
        <w:t xml:space="preserve">. </w:t>
      </w:r>
      <w:r w:rsidR="00B75F07">
        <w:t>The Escarpment Natural Area is proposed for the pond feature, the tributary of the Sixteen Mile Creek</w:t>
      </w:r>
      <w:r w:rsidR="00EC49B1">
        <w:t>,</w:t>
      </w:r>
      <w:r w:rsidR="00B75F07">
        <w:t xml:space="preserve"> and a 15m buffer area. </w:t>
      </w:r>
      <w:r w:rsidR="00EC49B1">
        <w:t xml:space="preserve">Staff also notes that </w:t>
      </w:r>
      <w:r w:rsidR="00EC49B1">
        <w:rPr>
          <w:rFonts w:ascii="Arial" w:hAnsi="Arial" w:cs="Arial"/>
          <w:szCs w:val="24"/>
          <w:lang w:val="en-US"/>
        </w:rPr>
        <w:t>the waterbody data layer was updated on in 2022, and the new layer has a more accurate delineation of the waterbody boundary.</w:t>
      </w:r>
    </w:p>
    <w:p w14:paraId="60390CDA" w14:textId="77777777" w:rsidR="00C41815" w:rsidRPr="00C41815" w:rsidRDefault="00092814" w:rsidP="003535BF">
      <w:pPr>
        <w:rPr>
          <w:rFonts w:ascii="Arial" w:hAnsi="Arial" w:cs="Arial"/>
          <w:szCs w:val="24"/>
          <w:u w:val="single"/>
          <w:lang w:val="en-US"/>
        </w:rPr>
      </w:pPr>
      <w:r w:rsidRPr="00C41815">
        <w:rPr>
          <w:rFonts w:ascii="Arial" w:hAnsi="Arial" w:cs="Arial"/>
          <w:szCs w:val="24"/>
          <w:u w:val="single"/>
          <w:lang w:val="en-US"/>
        </w:rPr>
        <w:t xml:space="preserve">Part 1.4 Escarpment Protection Area </w:t>
      </w:r>
    </w:p>
    <w:p w14:paraId="6A8FAFD6" w14:textId="2CE4B3FD" w:rsidR="00C41815" w:rsidRDefault="00C41815" w:rsidP="003535BF">
      <w:pPr>
        <w:rPr>
          <w:szCs w:val="24"/>
        </w:rPr>
      </w:pPr>
      <w:r w:rsidRPr="00C41815">
        <w:rPr>
          <w:szCs w:val="24"/>
        </w:rPr>
        <w:t xml:space="preserve">Escarpment Protection Areas are </w:t>
      </w:r>
      <w:r>
        <w:rPr>
          <w:szCs w:val="24"/>
        </w:rPr>
        <w:t xml:space="preserve">generally </w:t>
      </w:r>
      <w:r w:rsidRPr="00C41815">
        <w:rPr>
          <w:szCs w:val="24"/>
        </w:rPr>
        <w:t xml:space="preserve">considered less sensitive than Escarpment Natural Areas, although this may not be the case in all instances. They are recognized </w:t>
      </w:r>
      <w:r>
        <w:rPr>
          <w:szCs w:val="24"/>
        </w:rPr>
        <w:t xml:space="preserve">as </w:t>
      </w:r>
      <w:r w:rsidRPr="00C41815">
        <w:rPr>
          <w:szCs w:val="24"/>
        </w:rPr>
        <w:t>an important part of the natural and scenic Escarpment environment. Escarpment Protection Areas are important due to their visual prominence and environmental significance. These areas were delineated based on topography,</w:t>
      </w:r>
      <w:r w:rsidRPr="00C41815">
        <w:rPr>
          <w:sz w:val="23"/>
          <w:szCs w:val="23"/>
        </w:rPr>
        <w:t xml:space="preserve"> </w:t>
      </w:r>
      <w:r w:rsidRPr="00C41815">
        <w:rPr>
          <w:szCs w:val="24"/>
        </w:rPr>
        <w:t>vegetation</w:t>
      </w:r>
      <w:r>
        <w:rPr>
          <w:szCs w:val="24"/>
        </w:rPr>
        <w:t>,</w:t>
      </w:r>
      <w:r w:rsidRPr="00C41815">
        <w:rPr>
          <w:szCs w:val="24"/>
        </w:rPr>
        <w:t xml:space="preserve"> and visual landscape units, given they are often the more visually prominent areas. Included in this designation are Escarpment features that have been significantly modified by land use activities such as agriculture or residential development, but still exhibit significant aesthetic and ecological qualities. Additionally, these lands are required to buffer the more prominent Escarpment Natural Areas</w:t>
      </w:r>
      <w:r w:rsidR="00411037">
        <w:rPr>
          <w:szCs w:val="24"/>
        </w:rPr>
        <w:t>.</w:t>
      </w:r>
    </w:p>
    <w:p w14:paraId="78CAB6A7" w14:textId="77777777" w:rsidR="00C41815" w:rsidRPr="00E569B0" w:rsidRDefault="00C41815" w:rsidP="00C41815">
      <w:pPr>
        <w:spacing w:after="0" w:line="240" w:lineRule="auto"/>
        <w:rPr>
          <w:rFonts w:ascii="Arial" w:eastAsia="Times New Roman" w:hAnsi="Arial" w:cs="Arial"/>
          <w:szCs w:val="24"/>
          <w:u w:val="single"/>
        </w:rPr>
      </w:pPr>
      <w:r>
        <w:rPr>
          <w:rFonts w:ascii="Arial" w:eastAsia="Times New Roman" w:hAnsi="Arial" w:cs="Arial"/>
          <w:szCs w:val="24"/>
          <w:u w:val="single"/>
        </w:rPr>
        <w:t>Part 1.4.2 Criteria for Designation:</w:t>
      </w:r>
    </w:p>
    <w:p w14:paraId="13CE2C71" w14:textId="77777777" w:rsidR="00C41815" w:rsidRPr="00E569B0" w:rsidRDefault="00C41815" w:rsidP="00C41815">
      <w:pPr>
        <w:spacing w:after="0" w:line="240" w:lineRule="auto"/>
        <w:rPr>
          <w:rFonts w:ascii="Arial" w:eastAsia="Times New Roman" w:hAnsi="Arial" w:cs="Arial"/>
          <w:szCs w:val="24"/>
        </w:rPr>
      </w:pPr>
    </w:p>
    <w:p w14:paraId="678BA39F" w14:textId="77777777" w:rsidR="00C41815" w:rsidRDefault="00C41815" w:rsidP="00C41815">
      <w:pPr>
        <w:pStyle w:val="ListParagraph"/>
        <w:numPr>
          <w:ilvl w:val="0"/>
          <w:numId w:val="22"/>
        </w:numPr>
        <w:ind w:left="284" w:hanging="284"/>
        <w:rPr>
          <w:rFonts w:ascii="Arial" w:hAnsi="Arial" w:cs="Arial"/>
          <w:bCs/>
          <w:szCs w:val="24"/>
        </w:rPr>
      </w:pPr>
      <w:r w:rsidRPr="00BF1656">
        <w:rPr>
          <w:rFonts w:ascii="Arial" w:hAnsi="Arial" w:cs="Arial"/>
          <w:bCs/>
          <w:szCs w:val="24"/>
        </w:rPr>
        <w:t xml:space="preserve">Escarpment slopes and Escarpment Related Landforms where existing land uses have significantly altered the natural environment (e.g., agricultural lands or residential development). </w:t>
      </w:r>
    </w:p>
    <w:p w14:paraId="7310E9EB" w14:textId="77777777" w:rsidR="00C41815" w:rsidRDefault="00C41815" w:rsidP="00C41815">
      <w:pPr>
        <w:pStyle w:val="ListParagraph"/>
        <w:numPr>
          <w:ilvl w:val="0"/>
          <w:numId w:val="22"/>
        </w:numPr>
        <w:ind w:left="284" w:hanging="284"/>
        <w:rPr>
          <w:rFonts w:ascii="Arial" w:hAnsi="Arial" w:cs="Arial"/>
          <w:bCs/>
          <w:szCs w:val="24"/>
        </w:rPr>
      </w:pPr>
      <w:r w:rsidRPr="00BF1656">
        <w:rPr>
          <w:rFonts w:ascii="Arial" w:hAnsi="Arial" w:cs="Arial"/>
          <w:bCs/>
          <w:szCs w:val="24"/>
        </w:rPr>
        <w:t xml:space="preserve">Areas in close proximity to Escarpment slopes that are visually part of the landscape unit. </w:t>
      </w:r>
    </w:p>
    <w:p w14:paraId="6AEAD06F" w14:textId="77777777" w:rsidR="00C41815" w:rsidRPr="00BF1656" w:rsidRDefault="00C41815" w:rsidP="00C41815">
      <w:pPr>
        <w:pStyle w:val="ListParagraph"/>
        <w:numPr>
          <w:ilvl w:val="0"/>
          <w:numId w:val="22"/>
        </w:numPr>
        <w:ind w:left="284" w:hanging="284"/>
        <w:rPr>
          <w:rFonts w:ascii="Arial" w:hAnsi="Arial" w:cs="Arial"/>
          <w:bCs/>
          <w:szCs w:val="24"/>
        </w:rPr>
      </w:pPr>
      <w:r w:rsidRPr="00BF1656">
        <w:rPr>
          <w:rFonts w:ascii="Arial" w:hAnsi="Arial" w:cs="Arial"/>
          <w:bCs/>
          <w:szCs w:val="24"/>
        </w:rPr>
        <w:t>Areas of Natural and Scientific Interest (Life Science), or environmentally sensitive or environmentally significant areas identified by municipalities or conservation authorities.</w:t>
      </w:r>
    </w:p>
    <w:p w14:paraId="6AB745B9" w14:textId="78BFE2B0" w:rsidR="003535BF" w:rsidRDefault="003535BF" w:rsidP="003535BF">
      <w:pPr>
        <w:rPr>
          <w:rFonts w:ascii="Arial" w:hAnsi="Arial" w:cs="Arial"/>
          <w:szCs w:val="24"/>
          <w:lang w:val="en-US"/>
        </w:rPr>
      </w:pPr>
      <w:r>
        <w:rPr>
          <w:rFonts w:ascii="Arial" w:hAnsi="Arial" w:cs="Arial"/>
          <w:szCs w:val="24"/>
          <w:lang w:val="en-US"/>
        </w:rPr>
        <w:t xml:space="preserve">The re-designation of the rehabilitated portion of the subject land to </w:t>
      </w:r>
      <w:r w:rsidR="00092814">
        <w:rPr>
          <w:rFonts w:ascii="Arial" w:hAnsi="Arial" w:cs="Arial"/>
          <w:szCs w:val="24"/>
          <w:lang w:val="en-US"/>
        </w:rPr>
        <w:t xml:space="preserve">the </w:t>
      </w:r>
      <w:r>
        <w:rPr>
          <w:rFonts w:ascii="Arial" w:hAnsi="Arial" w:cs="Arial"/>
          <w:szCs w:val="24"/>
          <w:lang w:val="en-US"/>
        </w:rPr>
        <w:t>Escarpment Protection Area is justified as the subject property meets Part 1.4. Designation Criteria</w:t>
      </w:r>
      <w:r w:rsidR="00092814">
        <w:rPr>
          <w:rFonts w:ascii="Arial" w:hAnsi="Arial" w:cs="Arial"/>
          <w:szCs w:val="24"/>
          <w:lang w:val="en-US"/>
        </w:rPr>
        <w:t xml:space="preserve"> </w:t>
      </w:r>
      <w:r>
        <w:rPr>
          <w:rFonts w:ascii="Arial" w:hAnsi="Arial" w:cs="Arial"/>
          <w:szCs w:val="24"/>
          <w:lang w:val="en-US"/>
        </w:rPr>
        <w:t xml:space="preserve">considered land in close proximity to the Escarpment slopes which are visually part of the landscape unit. </w:t>
      </w:r>
    </w:p>
    <w:p w14:paraId="67AC829D" w14:textId="3A48ADB9" w:rsidR="0078160F" w:rsidRPr="00B52BE8" w:rsidRDefault="0078160F" w:rsidP="0078160F">
      <w:pPr>
        <w:ind w:right="-158"/>
        <w:rPr>
          <w:rFonts w:ascii="Arial" w:hAnsi="Arial" w:cs="Arial"/>
          <w:szCs w:val="24"/>
        </w:rPr>
      </w:pPr>
      <w:bookmarkStart w:id="12" w:name="_Hlk117500246"/>
      <w:r w:rsidRPr="00B52BE8">
        <w:t xml:space="preserve">The </w:t>
      </w:r>
      <w:r>
        <w:t xml:space="preserve">NEP </w:t>
      </w:r>
      <w:r w:rsidRPr="00B52BE8">
        <w:t xml:space="preserve">Part 2 Development Criteria are not applicable </w:t>
      </w:r>
      <w:r>
        <w:t>to the proposal</w:t>
      </w:r>
      <w:r w:rsidRPr="00B52BE8">
        <w:t xml:space="preserve">, given that the amendment is only seeking a change to the </w:t>
      </w:r>
      <w:r>
        <w:t>Land Use D</w:t>
      </w:r>
      <w:r w:rsidRPr="00B52BE8">
        <w:t xml:space="preserve">esignation, and </w:t>
      </w:r>
      <w:r>
        <w:t xml:space="preserve">does not include </w:t>
      </w:r>
      <w:r w:rsidRPr="00B52BE8">
        <w:t>any associated development or policy exceptions</w:t>
      </w:r>
      <w:r>
        <w:t xml:space="preserve"> at this stage</w:t>
      </w:r>
      <w:r w:rsidRPr="00B52BE8">
        <w:t xml:space="preserve">.  Permitted </w:t>
      </w:r>
      <w:r>
        <w:t>u</w:t>
      </w:r>
      <w:r w:rsidRPr="00B52BE8">
        <w:t xml:space="preserve">ses on the </w:t>
      </w:r>
      <w:r w:rsidRPr="00B52BE8">
        <w:lastRenderedPageBreak/>
        <w:t>subject lands will be informed by the new designation(</w:t>
      </w:r>
      <w:r>
        <w:t>s)</w:t>
      </w:r>
      <w:r w:rsidRPr="00B52BE8">
        <w:t xml:space="preserve">, once approved, and </w:t>
      </w:r>
      <w:r w:rsidR="00EB4140">
        <w:t xml:space="preserve">the </w:t>
      </w:r>
      <w:r>
        <w:t xml:space="preserve">future proposed development </w:t>
      </w:r>
      <w:r w:rsidRPr="00B52BE8">
        <w:t>would require a Development Permit Application</w:t>
      </w:r>
      <w:r>
        <w:t>.</w:t>
      </w:r>
    </w:p>
    <w:bookmarkEnd w:id="12"/>
    <w:p w14:paraId="7975C061" w14:textId="1F7E91F3" w:rsidR="00D15817" w:rsidRPr="00D15817" w:rsidRDefault="00D15817" w:rsidP="00D15817">
      <w:pPr>
        <w:rPr>
          <w:rFonts w:ascii="Arial" w:hAnsi="Arial" w:cs="Arial"/>
          <w:b/>
          <w:bCs/>
          <w:szCs w:val="24"/>
        </w:rPr>
      </w:pPr>
      <w:r w:rsidRPr="00D15817">
        <w:rPr>
          <w:rFonts w:ascii="Arial" w:hAnsi="Arial" w:cs="Arial"/>
          <w:b/>
          <w:bCs/>
          <w:szCs w:val="24"/>
        </w:rPr>
        <w:t>Provincial Policy Statement (2020)</w:t>
      </w:r>
    </w:p>
    <w:p w14:paraId="3D891C0C" w14:textId="3E455905" w:rsidR="00D15817" w:rsidRPr="00082267" w:rsidRDefault="00D15817" w:rsidP="00D15817">
      <w:pPr>
        <w:rPr>
          <w:rFonts w:ascii="Arial" w:hAnsi="Arial" w:cs="Arial"/>
          <w:szCs w:val="24"/>
        </w:rPr>
      </w:pPr>
      <w:r w:rsidRPr="00082267">
        <w:rPr>
          <w:rFonts w:ascii="Arial" w:hAnsi="Arial" w:cs="Arial"/>
          <w:szCs w:val="24"/>
        </w:rPr>
        <w:t>The PPS</w:t>
      </w:r>
      <w:r>
        <w:rPr>
          <w:rFonts w:ascii="Arial" w:hAnsi="Arial" w:cs="Arial"/>
          <w:szCs w:val="24"/>
        </w:rPr>
        <w:t xml:space="preserve"> (2020) </w:t>
      </w:r>
      <w:r w:rsidRPr="00082267">
        <w:rPr>
          <w:rFonts w:ascii="Arial" w:hAnsi="Arial" w:cs="Arial"/>
          <w:szCs w:val="24"/>
        </w:rPr>
        <w:t xml:space="preserve">is intended to provide direction on matters of provincial interest related to land use and planning.  All </w:t>
      </w:r>
      <w:r>
        <w:rPr>
          <w:rFonts w:ascii="Arial" w:hAnsi="Arial" w:cs="Arial"/>
          <w:szCs w:val="24"/>
        </w:rPr>
        <w:t>land use planning decisions</w:t>
      </w:r>
      <w:r w:rsidRPr="00082267">
        <w:rPr>
          <w:rFonts w:ascii="Arial" w:hAnsi="Arial" w:cs="Arial"/>
          <w:szCs w:val="24"/>
        </w:rPr>
        <w:t>, including</w:t>
      </w:r>
      <w:r>
        <w:rPr>
          <w:rFonts w:ascii="Arial" w:hAnsi="Arial" w:cs="Arial"/>
          <w:szCs w:val="24"/>
        </w:rPr>
        <w:t xml:space="preserve"> those of</w:t>
      </w:r>
      <w:r w:rsidRPr="00082267">
        <w:rPr>
          <w:rFonts w:ascii="Arial" w:hAnsi="Arial" w:cs="Arial"/>
          <w:szCs w:val="24"/>
        </w:rPr>
        <w:t xml:space="preserve"> the NEC, must be consistent with the policies of the PPS; however, the PPS states that Provincial Plans take precedence over policies in the </w:t>
      </w:r>
      <w:r>
        <w:rPr>
          <w:rFonts w:ascii="Arial" w:hAnsi="Arial" w:cs="Arial"/>
          <w:szCs w:val="24"/>
        </w:rPr>
        <w:t>PPS</w:t>
      </w:r>
      <w:r w:rsidRPr="00082267">
        <w:rPr>
          <w:rFonts w:ascii="Arial" w:hAnsi="Arial" w:cs="Arial"/>
          <w:szCs w:val="24"/>
        </w:rPr>
        <w:t xml:space="preserve"> to the extent of </w:t>
      </w:r>
      <w:r w:rsidR="00CB04DA">
        <w:rPr>
          <w:rFonts w:ascii="Arial" w:hAnsi="Arial" w:cs="Arial"/>
          <w:szCs w:val="24"/>
        </w:rPr>
        <w:t xml:space="preserve">any </w:t>
      </w:r>
      <w:r w:rsidRPr="00082267">
        <w:rPr>
          <w:rFonts w:ascii="Arial" w:hAnsi="Arial" w:cs="Arial"/>
          <w:szCs w:val="24"/>
        </w:rPr>
        <w:t>conflict</w:t>
      </w:r>
      <w:r w:rsidR="00CB04DA">
        <w:rPr>
          <w:rFonts w:ascii="Arial" w:hAnsi="Arial" w:cs="Arial"/>
          <w:szCs w:val="24"/>
        </w:rPr>
        <w:t>, except where relevant legislation provides otherwise</w:t>
      </w:r>
      <w:r w:rsidRPr="00082267">
        <w:rPr>
          <w:rFonts w:ascii="Arial" w:hAnsi="Arial" w:cs="Arial"/>
          <w:szCs w:val="24"/>
        </w:rPr>
        <w:t xml:space="preserve">.  </w:t>
      </w:r>
      <w:r w:rsidRPr="00082267">
        <w:rPr>
          <w:rFonts w:ascii="Arial" w:hAnsi="Arial" w:cs="Arial"/>
          <w:color w:val="000000"/>
          <w:szCs w:val="24"/>
        </w:rPr>
        <w:t xml:space="preserve">The </w:t>
      </w:r>
      <w:r>
        <w:rPr>
          <w:rFonts w:ascii="Arial" w:hAnsi="Arial" w:cs="Arial"/>
          <w:color w:val="000000"/>
          <w:szCs w:val="24"/>
        </w:rPr>
        <w:t>NEP</w:t>
      </w:r>
      <w:r w:rsidRPr="00082267">
        <w:rPr>
          <w:rFonts w:ascii="Arial" w:hAnsi="Arial" w:cs="Arial"/>
          <w:color w:val="000000"/>
          <w:szCs w:val="24"/>
        </w:rPr>
        <w:t xml:space="preserve"> builds upon the policy foundation provided by the </w:t>
      </w:r>
      <w:r>
        <w:rPr>
          <w:rFonts w:ascii="Arial" w:hAnsi="Arial" w:cs="Arial"/>
          <w:color w:val="000000"/>
          <w:szCs w:val="24"/>
        </w:rPr>
        <w:t xml:space="preserve">PPS </w:t>
      </w:r>
      <w:r w:rsidRPr="00082267">
        <w:rPr>
          <w:rFonts w:ascii="Arial" w:hAnsi="Arial" w:cs="Arial"/>
          <w:color w:val="000000"/>
          <w:szCs w:val="24"/>
        </w:rPr>
        <w:t>and provides additional land use planning policies</w:t>
      </w:r>
      <w:r>
        <w:rPr>
          <w:rFonts w:ascii="Arial" w:hAnsi="Arial" w:cs="Arial"/>
          <w:color w:val="000000"/>
          <w:szCs w:val="24"/>
        </w:rPr>
        <w:t xml:space="preserve"> in support of the Purpose and Objectives.</w:t>
      </w:r>
    </w:p>
    <w:p w14:paraId="0ABF7BCE" w14:textId="51032064" w:rsidR="00D15817" w:rsidRPr="005815D2" w:rsidRDefault="00D15817" w:rsidP="00D15817">
      <w:pPr>
        <w:rPr>
          <w:rFonts w:ascii="Arial" w:hAnsi="Arial" w:cs="Arial"/>
          <w:i/>
          <w:szCs w:val="24"/>
        </w:rPr>
      </w:pPr>
      <w:r w:rsidRPr="005815D2">
        <w:rPr>
          <w:rFonts w:ascii="Arial" w:hAnsi="Arial" w:cs="Arial"/>
          <w:szCs w:val="24"/>
        </w:rPr>
        <w:t xml:space="preserve">The PPS provides direction for the rehabilitation and </w:t>
      </w:r>
      <w:r w:rsidR="00CB04DA">
        <w:rPr>
          <w:rFonts w:ascii="Arial" w:hAnsi="Arial" w:cs="Arial"/>
          <w:szCs w:val="24"/>
        </w:rPr>
        <w:t>after-use</w:t>
      </w:r>
      <w:r w:rsidRPr="005815D2">
        <w:rPr>
          <w:rFonts w:ascii="Arial" w:hAnsi="Arial" w:cs="Arial"/>
          <w:szCs w:val="24"/>
        </w:rPr>
        <w:t xml:space="preserve"> of mineral aggregate resource sites in Section 2.5.3 Rehabilitation. Section 2.5.3.1 states that </w:t>
      </w:r>
      <w:r>
        <w:rPr>
          <w:rFonts w:ascii="Arial" w:hAnsi="Arial" w:cs="Arial"/>
          <w:szCs w:val="24"/>
        </w:rPr>
        <w:t>p</w:t>
      </w:r>
      <w:r>
        <w:t>rogressive and final rehabilitation shall be required to accommodate subsequent land uses, promote land use compatibility, recognize the interim nature of extraction, and mitigate negative impacts to the extent possible. Final rehabilitation shall take surrounding land use and approved land use designations into consideration. Further, Part 2.5.3.2 identifies that comprehensive rehabilitation planning is encouraged where there is a concentration of mineral aggregate operations</w:t>
      </w:r>
    </w:p>
    <w:p w14:paraId="6EFD4E32" w14:textId="5D274D8B" w:rsidR="00D15817" w:rsidRDefault="00D15817" w:rsidP="00D15817">
      <w:pPr>
        <w:rPr>
          <w:rFonts w:ascii="Arial" w:hAnsi="Arial" w:cs="Arial"/>
          <w:szCs w:val="24"/>
        </w:rPr>
      </w:pPr>
      <w:r w:rsidRPr="00A97FFB">
        <w:rPr>
          <w:rFonts w:ascii="Arial" w:hAnsi="Arial" w:cs="Arial"/>
          <w:szCs w:val="24"/>
        </w:rPr>
        <w:t xml:space="preserve">Section 2.0 of the PPS identifies the </w:t>
      </w:r>
      <w:r w:rsidR="00754B82" w:rsidRPr="00A97FFB">
        <w:rPr>
          <w:rFonts w:ascii="Arial" w:hAnsi="Arial" w:cs="Arial"/>
          <w:szCs w:val="24"/>
        </w:rPr>
        <w:t>province’s</w:t>
      </w:r>
      <w:r w:rsidRPr="00A97FFB">
        <w:rPr>
          <w:rFonts w:ascii="Arial" w:hAnsi="Arial" w:cs="Arial"/>
          <w:szCs w:val="24"/>
        </w:rPr>
        <w:t xml:space="preserve"> objectives respecting the long-term protection of natural heritage</w:t>
      </w:r>
      <w:r>
        <w:rPr>
          <w:rFonts w:ascii="Arial" w:hAnsi="Arial" w:cs="Arial"/>
          <w:szCs w:val="24"/>
        </w:rPr>
        <w:t>,</w:t>
      </w:r>
      <w:r w:rsidRPr="00A97FFB">
        <w:rPr>
          <w:rFonts w:ascii="Arial" w:hAnsi="Arial" w:cs="Arial"/>
          <w:szCs w:val="24"/>
        </w:rPr>
        <w:t xml:space="preserve"> </w:t>
      </w:r>
      <w:r w:rsidRPr="004F1665">
        <w:rPr>
          <w:rFonts w:ascii="Arial" w:hAnsi="Arial" w:cs="Arial"/>
          <w:szCs w:val="24"/>
        </w:rPr>
        <w:t>water resources and cultural heritage</w:t>
      </w:r>
      <w:r w:rsidR="00CB04DA">
        <w:rPr>
          <w:rFonts w:ascii="Arial" w:hAnsi="Arial" w:cs="Arial"/>
          <w:szCs w:val="24"/>
        </w:rPr>
        <w:t>,</w:t>
      </w:r>
      <w:r w:rsidRPr="004F1665">
        <w:rPr>
          <w:rFonts w:ascii="Arial" w:hAnsi="Arial" w:cs="Arial"/>
          <w:szCs w:val="24"/>
        </w:rPr>
        <w:t xml:space="preserve"> and archaeological resources for</w:t>
      </w:r>
      <w:r w:rsidRPr="00A97FFB">
        <w:rPr>
          <w:rFonts w:ascii="Arial" w:hAnsi="Arial" w:cs="Arial"/>
          <w:szCs w:val="24"/>
        </w:rPr>
        <w:t xml:space="preserve"> their economic, environmental</w:t>
      </w:r>
      <w:r w:rsidR="00CB04DA">
        <w:rPr>
          <w:rFonts w:ascii="Arial" w:hAnsi="Arial" w:cs="Arial"/>
          <w:szCs w:val="24"/>
        </w:rPr>
        <w:t>,</w:t>
      </w:r>
      <w:r w:rsidRPr="00A97FFB">
        <w:rPr>
          <w:rFonts w:ascii="Arial" w:hAnsi="Arial" w:cs="Arial"/>
          <w:szCs w:val="24"/>
        </w:rPr>
        <w:t xml:space="preserve"> and social benefits. Part 2.1 requires that natural features and areas shall be protected for the </w:t>
      </w:r>
      <w:r w:rsidR="00CB04DA">
        <w:rPr>
          <w:rFonts w:ascii="Arial" w:hAnsi="Arial" w:cs="Arial"/>
          <w:szCs w:val="24"/>
        </w:rPr>
        <w:t>long term</w:t>
      </w:r>
      <w:r w:rsidRPr="00A97FFB">
        <w:rPr>
          <w:rFonts w:ascii="Arial" w:hAnsi="Arial" w:cs="Arial"/>
          <w:szCs w:val="24"/>
        </w:rPr>
        <w:t xml:space="preserve"> and Part 2.1.2 identifies that the diversity and connectivity of natural features in an area, and the long-term ecological function and biodiversity of natural heritage systems, should be maintained, restored</w:t>
      </w:r>
      <w:r w:rsidR="00CB04DA">
        <w:rPr>
          <w:rFonts w:ascii="Arial" w:hAnsi="Arial" w:cs="Arial"/>
          <w:szCs w:val="24"/>
        </w:rPr>
        <w:t>,</w:t>
      </w:r>
      <w:r w:rsidRPr="00A97FFB">
        <w:rPr>
          <w:rFonts w:ascii="Arial" w:hAnsi="Arial" w:cs="Arial"/>
          <w:szCs w:val="24"/>
        </w:rPr>
        <w:t xml:space="preserve"> or, where possible, improved, recognizing linkages between and among natural heritage features and areas, surface water features and ground water features</w:t>
      </w:r>
      <w:r>
        <w:rPr>
          <w:rFonts w:ascii="Arial" w:hAnsi="Arial" w:cs="Arial"/>
          <w:szCs w:val="24"/>
        </w:rPr>
        <w:t>.</w:t>
      </w:r>
    </w:p>
    <w:p w14:paraId="3921D979" w14:textId="42B32406" w:rsidR="003A5BB2" w:rsidRDefault="00D15817" w:rsidP="00CB04DA">
      <w:pPr>
        <w:rPr>
          <w:rFonts w:ascii="Arial" w:hAnsi="Arial" w:cs="Arial"/>
          <w:szCs w:val="24"/>
        </w:rPr>
      </w:pPr>
      <w:r>
        <w:rPr>
          <w:rFonts w:ascii="Arial" w:hAnsi="Arial" w:cs="Arial"/>
          <w:szCs w:val="24"/>
        </w:rPr>
        <w:t>The proposed re-designation of the lands is consistent with the PPS (2020</w:t>
      </w:r>
      <w:r w:rsidR="00CB04DA">
        <w:rPr>
          <w:rFonts w:ascii="Arial" w:hAnsi="Arial" w:cs="Arial"/>
          <w:szCs w:val="24"/>
        </w:rPr>
        <w:t>).</w:t>
      </w:r>
    </w:p>
    <w:p w14:paraId="4FBA6D40" w14:textId="77777777" w:rsidR="00754B82" w:rsidRPr="00754B82" w:rsidRDefault="00754B82" w:rsidP="00754B82">
      <w:pPr>
        <w:rPr>
          <w:rFonts w:ascii="Arial" w:hAnsi="Arial" w:cs="Arial"/>
          <w:b/>
          <w:bCs/>
          <w:iCs/>
          <w:szCs w:val="24"/>
        </w:rPr>
      </w:pPr>
      <w:r w:rsidRPr="00754B82">
        <w:rPr>
          <w:rFonts w:ascii="Arial" w:hAnsi="Arial" w:cs="Arial"/>
          <w:b/>
          <w:bCs/>
          <w:iCs/>
          <w:szCs w:val="24"/>
        </w:rPr>
        <w:t>Greenbelt Plan (2017)</w:t>
      </w:r>
    </w:p>
    <w:p w14:paraId="3DFE09CA" w14:textId="3341C1E5" w:rsidR="00754B82" w:rsidRDefault="00754B82" w:rsidP="00754B82">
      <w:pPr>
        <w:rPr>
          <w:rFonts w:ascii="Arial" w:hAnsi="Arial" w:cs="Arial"/>
          <w:szCs w:val="24"/>
        </w:rPr>
      </w:pPr>
      <w:r w:rsidRPr="00754B82">
        <w:rPr>
          <w:rFonts w:ascii="Arial" w:hAnsi="Arial" w:cs="Arial"/>
          <w:szCs w:val="24"/>
        </w:rPr>
        <w:t xml:space="preserve">The </w:t>
      </w:r>
      <w:r w:rsidRPr="00754B82">
        <w:rPr>
          <w:rFonts w:ascii="Arial" w:hAnsi="Arial" w:cs="Arial"/>
          <w:i/>
          <w:szCs w:val="24"/>
        </w:rPr>
        <w:t>Greenbelt Act</w:t>
      </w:r>
      <w:r w:rsidRPr="00754B82">
        <w:rPr>
          <w:rFonts w:ascii="Arial" w:hAnsi="Arial" w:cs="Arial"/>
          <w:szCs w:val="24"/>
        </w:rPr>
        <w:t xml:space="preserve"> authorized the preparation of the Greenbelt Plan, which was approved in February 2005 and updated in 2017 through the 2015 Co-ordinated Land Use Plan Review. The Greenbelt Plan Area includes all </w:t>
      </w:r>
      <w:r>
        <w:rPr>
          <w:rFonts w:ascii="Arial" w:hAnsi="Arial" w:cs="Arial"/>
          <w:szCs w:val="24"/>
        </w:rPr>
        <w:t xml:space="preserve">of </w:t>
      </w:r>
      <w:r w:rsidRPr="00754B82">
        <w:rPr>
          <w:rFonts w:ascii="Arial" w:hAnsi="Arial" w:cs="Arial"/>
          <w:szCs w:val="24"/>
        </w:rPr>
        <w:t xml:space="preserve">the NEP Area.  The policies of the NEP are the policies of the Greenbelt Plan for the NEP Area with the exception of the Open Space and Trails Policies set out in Section 3.3 of the Greenbelt Plan. The planning, construction, and maintenance of parkland, open space, and trails in the NEP Area must also comply with the policies in Section 3.3 of the Greenbelt Plan. Further, </w:t>
      </w:r>
      <w:r w:rsidRPr="00754B82">
        <w:rPr>
          <w:rFonts w:ascii="Arial" w:hAnsi="Arial" w:cs="Arial"/>
          <w:szCs w:val="24"/>
        </w:rPr>
        <w:lastRenderedPageBreak/>
        <w:t>Section 5.6 identifies amendment</w:t>
      </w:r>
      <w:r>
        <w:rPr>
          <w:rFonts w:ascii="Arial" w:hAnsi="Arial" w:cs="Arial"/>
          <w:szCs w:val="24"/>
        </w:rPr>
        <w:t>s</w:t>
      </w:r>
      <w:r w:rsidRPr="00754B82">
        <w:rPr>
          <w:rFonts w:ascii="Arial" w:hAnsi="Arial" w:cs="Arial"/>
          <w:szCs w:val="24"/>
        </w:rPr>
        <w:t xml:space="preserve"> to the NEP remain governed </w:t>
      </w:r>
      <w:r w:rsidR="00E20AC6" w:rsidRPr="00754B82">
        <w:rPr>
          <w:rFonts w:ascii="Arial" w:hAnsi="Arial" w:cs="Arial"/>
          <w:szCs w:val="24"/>
        </w:rPr>
        <w:t>by and</w:t>
      </w:r>
      <w:r w:rsidRPr="00754B82">
        <w:rPr>
          <w:rFonts w:ascii="Arial" w:hAnsi="Arial" w:cs="Arial"/>
          <w:szCs w:val="24"/>
        </w:rPr>
        <w:t xml:space="preserve"> are to be dealt </w:t>
      </w:r>
      <w:r>
        <w:rPr>
          <w:rFonts w:ascii="Arial" w:hAnsi="Arial" w:cs="Arial"/>
          <w:szCs w:val="24"/>
        </w:rPr>
        <w:t xml:space="preserve">with </w:t>
      </w:r>
      <w:r w:rsidRPr="00754B82">
        <w:rPr>
          <w:rFonts w:ascii="Arial" w:hAnsi="Arial" w:cs="Arial"/>
          <w:szCs w:val="24"/>
        </w:rPr>
        <w:t xml:space="preserve">in accordance </w:t>
      </w:r>
      <w:r>
        <w:rPr>
          <w:rFonts w:ascii="Arial" w:hAnsi="Arial" w:cs="Arial"/>
          <w:szCs w:val="24"/>
        </w:rPr>
        <w:t xml:space="preserve">with </w:t>
      </w:r>
      <w:r w:rsidRPr="00754B82">
        <w:rPr>
          <w:rFonts w:ascii="Arial" w:hAnsi="Arial" w:cs="Arial"/>
          <w:szCs w:val="24"/>
        </w:rPr>
        <w:t xml:space="preserve">the provisions of the NEPDA. </w:t>
      </w:r>
    </w:p>
    <w:p w14:paraId="55CA668B" w14:textId="1D5F57B8" w:rsidR="00754B82" w:rsidRPr="00754B82" w:rsidRDefault="00754B82" w:rsidP="00754B82">
      <w:pPr>
        <w:rPr>
          <w:rFonts w:ascii="Arial" w:hAnsi="Arial" w:cs="Arial"/>
          <w:b/>
          <w:bCs/>
          <w:iCs/>
          <w:szCs w:val="24"/>
        </w:rPr>
      </w:pPr>
      <w:r w:rsidRPr="00754B82">
        <w:rPr>
          <w:rFonts w:ascii="Arial" w:hAnsi="Arial" w:cs="Arial"/>
          <w:b/>
          <w:bCs/>
          <w:iCs/>
          <w:szCs w:val="24"/>
        </w:rPr>
        <w:t>Growth Plan for the Greater Golden Horseshoe (2020)</w:t>
      </w:r>
    </w:p>
    <w:p w14:paraId="50CCCC5E" w14:textId="77777777" w:rsidR="00754B82" w:rsidRPr="00754B82" w:rsidRDefault="00754B82" w:rsidP="00754B82">
      <w:pPr>
        <w:rPr>
          <w:rFonts w:ascii="Arial" w:hAnsi="Arial" w:cs="Arial"/>
          <w:szCs w:val="24"/>
        </w:rPr>
      </w:pPr>
      <w:r w:rsidRPr="00754B82">
        <w:rPr>
          <w:rFonts w:ascii="Arial" w:hAnsi="Arial" w:cs="Arial"/>
          <w:szCs w:val="24"/>
        </w:rPr>
        <w:t xml:space="preserve">A Place to Grow: Growth Plan for the Greater Golden Horseshoe (Office Consolidation, 2020) (the “Growth Plan”) applies to lands within the Greater Golden Horseshoe (GGH), which includes the Town of Milton, and provides direction on how to manage growth.  Emphasis is placed on intensification and redevelopment in existing settlements and built-up areas rather than sprawl or haphazard expansion that requires new municipal services (e.g., sewers and water).  The Growth Plan on its Map Schedules also identifies Urban Growth Centres within existing built-up areas.  The subject lands are not identified as being part of an Urban Growth Centre or Built-up Area as designated in the Growth Plan (downtown Milton is identified as such). </w:t>
      </w:r>
    </w:p>
    <w:p w14:paraId="5BC9253D" w14:textId="4B2D4F19" w:rsidR="00754B82" w:rsidRPr="00754B82" w:rsidRDefault="00754B82" w:rsidP="00754B82">
      <w:pPr>
        <w:rPr>
          <w:rFonts w:ascii="Arial" w:hAnsi="Arial" w:cs="Arial"/>
          <w:szCs w:val="24"/>
        </w:rPr>
      </w:pPr>
      <w:r w:rsidRPr="00754B82">
        <w:rPr>
          <w:rFonts w:ascii="Arial" w:hAnsi="Arial" w:cs="Arial"/>
          <w:szCs w:val="24"/>
        </w:rPr>
        <w:t>The Growth Plan and Greenbelt Plan are intended to work together.  Areas to be protected in the GGH were established first (in the Greenbelt Plan) and then areas</w:t>
      </w:r>
      <w:r w:rsidR="0095786E">
        <w:rPr>
          <w:rFonts w:ascii="Arial" w:hAnsi="Arial" w:cs="Arial"/>
          <w:szCs w:val="24"/>
        </w:rPr>
        <w:t>, where development could be considered,</w:t>
      </w:r>
      <w:r w:rsidRPr="00754B82">
        <w:rPr>
          <w:rFonts w:ascii="Arial" w:hAnsi="Arial" w:cs="Arial"/>
          <w:szCs w:val="24"/>
        </w:rPr>
        <w:t xml:space="preserve"> were identified second (Growth Plan).  Both the Growth Plan (Section 1.4) and its enabling legislation (</w:t>
      </w:r>
      <w:r w:rsidRPr="00754B82">
        <w:rPr>
          <w:rFonts w:ascii="Arial" w:hAnsi="Arial" w:cs="Arial"/>
          <w:i/>
          <w:szCs w:val="24"/>
        </w:rPr>
        <w:t>Places to Grow Act, 2005</w:t>
      </w:r>
      <w:r w:rsidRPr="00754B82">
        <w:rPr>
          <w:rFonts w:ascii="Arial" w:hAnsi="Arial" w:cs="Arial"/>
          <w:szCs w:val="24"/>
        </w:rPr>
        <w:t>), indicate that in considering the Growth Plan in relation to other Provincial Plans and Policies (e.g., the NEP), the planning direction to be followed is the one that “provides more protection to the natural environment or human health”.  In considering the hierarchy of Provincial Plans and policies governing this area and the provisions within those documents, the greatest protection to the natural environment and human health (particularly the natural environment), is accomplished most effectively through the policies and appropriate land use designations of the NEP.</w:t>
      </w:r>
    </w:p>
    <w:p w14:paraId="4EA66F00" w14:textId="77777777" w:rsidR="00754B82" w:rsidRPr="00754B82" w:rsidRDefault="00754B82" w:rsidP="00754B82">
      <w:pPr>
        <w:rPr>
          <w:rFonts w:ascii="Arial" w:hAnsi="Arial" w:cs="Arial"/>
          <w:szCs w:val="24"/>
        </w:rPr>
      </w:pPr>
      <w:r w:rsidRPr="00754B82">
        <w:rPr>
          <w:rFonts w:ascii="Arial" w:hAnsi="Arial" w:cs="Arial"/>
          <w:szCs w:val="24"/>
        </w:rPr>
        <w:t xml:space="preserve">The Natural Heritage System of the Growth Plan is not identified in the area of the NEP. </w:t>
      </w:r>
    </w:p>
    <w:p w14:paraId="61FD24AC" w14:textId="06C8FC99" w:rsidR="00754B82" w:rsidRDefault="00754B82" w:rsidP="00754B82">
      <w:pPr>
        <w:rPr>
          <w:rFonts w:ascii="Arial" w:hAnsi="Arial" w:cs="Arial"/>
          <w:szCs w:val="24"/>
        </w:rPr>
      </w:pPr>
      <w:r w:rsidRPr="00754B82">
        <w:rPr>
          <w:rFonts w:ascii="Arial" w:hAnsi="Arial" w:cs="Arial"/>
          <w:szCs w:val="24"/>
        </w:rPr>
        <w:t>The subject lands are included within the broader area identified as being “Candidate Area” within the identified Prime Agricultural Area of the Growth Plan.</w:t>
      </w:r>
    </w:p>
    <w:p w14:paraId="05B15062" w14:textId="234959B5" w:rsidR="00754B82" w:rsidRPr="00754B82" w:rsidRDefault="00754B82" w:rsidP="00754B82">
      <w:pPr>
        <w:spacing w:before="200" w:after="0"/>
        <w:outlineLvl w:val="3"/>
        <w:rPr>
          <w:rFonts w:asciiTheme="majorHAnsi" w:eastAsiaTheme="majorEastAsia" w:hAnsiTheme="majorHAnsi" w:cstheme="majorBidi"/>
          <w:b/>
          <w:bCs/>
          <w:iCs/>
          <w:szCs w:val="24"/>
        </w:rPr>
      </w:pPr>
      <w:r w:rsidRPr="00754B82">
        <w:rPr>
          <w:rFonts w:asciiTheme="majorHAnsi" w:eastAsiaTheme="majorEastAsia" w:hAnsiTheme="majorHAnsi" w:cstheme="majorBidi"/>
          <w:b/>
          <w:bCs/>
          <w:iCs/>
          <w:szCs w:val="24"/>
        </w:rPr>
        <w:t>Regional and Local Planning Context</w:t>
      </w:r>
    </w:p>
    <w:p w14:paraId="7E657925" w14:textId="77777777" w:rsidR="00754B82" w:rsidRPr="00754B82" w:rsidRDefault="00754B82" w:rsidP="00754B82">
      <w:pPr>
        <w:widowControl w:val="0"/>
        <w:tabs>
          <w:tab w:val="left" w:pos="-1368"/>
          <w:tab w:val="left" w:pos="-720"/>
          <w:tab w:val="left" w:pos="720"/>
          <w:tab w:val="left" w:pos="2700"/>
        </w:tabs>
        <w:spacing w:after="0" w:line="240" w:lineRule="auto"/>
        <w:rPr>
          <w:rFonts w:ascii="Arial" w:eastAsia="Times New Roman" w:hAnsi="Arial" w:cs="Arial"/>
          <w:b/>
          <w:snapToGrid w:val="0"/>
          <w:sz w:val="23"/>
          <w:szCs w:val="23"/>
        </w:rPr>
      </w:pPr>
    </w:p>
    <w:p w14:paraId="15E56D77" w14:textId="77777777" w:rsidR="00754B82" w:rsidRPr="00754B82" w:rsidRDefault="00754B82" w:rsidP="00754B82">
      <w:pPr>
        <w:widowControl w:val="0"/>
        <w:tabs>
          <w:tab w:val="left" w:pos="-1368"/>
          <w:tab w:val="left" w:pos="-720"/>
          <w:tab w:val="left" w:pos="1152"/>
          <w:tab w:val="left" w:pos="2700"/>
        </w:tabs>
        <w:spacing w:after="0" w:line="240" w:lineRule="auto"/>
        <w:jc w:val="both"/>
        <w:outlineLvl w:val="4"/>
        <w:rPr>
          <w:rFonts w:ascii="Arial" w:eastAsia="Times New Roman" w:hAnsi="Arial" w:cs="Arial"/>
          <w:b/>
          <w:snapToGrid w:val="0"/>
          <w:szCs w:val="24"/>
        </w:rPr>
      </w:pPr>
      <w:r w:rsidRPr="00754B82">
        <w:rPr>
          <w:rFonts w:ascii="Arial" w:eastAsia="Times New Roman" w:hAnsi="Arial" w:cs="Arial"/>
          <w:b/>
          <w:snapToGrid w:val="0"/>
          <w:szCs w:val="24"/>
        </w:rPr>
        <w:t>Region of Halton Official Plan</w:t>
      </w:r>
    </w:p>
    <w:p w14:paraId="1DA52CCC" w14:textId="77777777" w:rsidR="00754B82" w:rsidRPr="00754B82" w:rsidRDefault="00754B82" w:rsidP="00754B82">
      <w:pPr>
        <w:widowControl w:val="0"/>
        <w:tabs>
          <w:tab w:val="left" w:pos="-1368"/>
          <w:tab w:val="left" w:pos="-720"/>
          <w:tab w:val="left" w:pos="1152"/>
          <w:tab w:val="left" w:pos="2700"/>
        </w:tabs>
        <w:spacing w:after="0" w:line="240" w:lineRule="auto"/>
        <w:jc w:val="both"/>
        <w:rPr>
          <w:rFonts w:ascii="Arial" w:eastAsia="Times New Roman" w:hAnsi="Arial" w:cs="Arial"/>
          <w:b/>
          <w:snapToGrid w:val="0"/>
          <w:szCs w:val="24"/>
        </w:rPr>
      </w:pPr>
    </w:p>
    <w:p w14:paraId="64B45B49" w14:textId="24406027"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r w:rsidRPr="00754B82">
        <w:rPr>
          <w:rFonts w:ascii="Arial" w:eastAsia="Times New Roman" w:hAnsi="Arial" w:cs="Arial"/>
          <w:snapToGrid w:val="0"/>
          <w:color w:val="000000"/>
          <w:szCs w:val="20"/>
          <w:shd w:val="clear" w:color="auto" w:fill="FFFFFF"/>
        </w:rPr>
        <w:t xml:space="preserve">The subject lands are designated as Mineral Resource Extraction Area on Map 1 Regional Structure, of the Halton Regional Official Plan (HROP, Office Consolidation, 2018). </w:t>
      </w:r>
      <w:r w:rsidRPr="00754B82">
        <w:rPr>
          <w:rFonts w:ascii="Arial" w:eastAsia="Times New Roman" w:hAnsi="Arial" w:cs="Tahoma"/>
          <w:snapToGrid w:val="0"/>
          <w:szCs w:val="20"/>
        </w:rPr>
        <w:t>The Regional Structure, as shown on Map 1</w:t>
      </w:r>
      <w:r>
        <w:rPr>
          <w:rFonts w:ascii="Arial" w:eastAsia="Times New Roman" w:hAnsi="Arial" w:cs="Tahoma"/>
          <w:snapToGrid w:val="0"/>
          <w:szCs w:val="20"/>
        </w:rPr>
        <w:t xml:space="preserve"> to the OP repr</w:t>
      </w:r>
      <w:r w:rsidRPr="00754B82">
        <w:rPr>
          <w:rFonts w:ascii="Arial" w:eastAsia="Times New Roman" w:hAnsi="Arial" w:cs="Tahoma"/>
          <w:snapToGrid w:val="0"/>
          <w:szCs w:val="20"/>
        </w:rPr>
        <w:t>esents</w:t>
      </w:r>
      <w:r>
        <w:rPr>
          <w:rFonts w:ascii="Arial" w:eastAsia="Times New Roman" w:hAnsi="Arial" w:cs="Tahoma"/>
          <w:snapToGrid w:val="0"/>
          <w:szCs w:val="20"/>
        </w:rPr>
        <w:t xml:space="preserve"> the Region’s</w:t>
      </w:r>
      <w:r w:rsidRPr="00754B82">
        <w:rPr>
          <w:rFonts w:ascii="Arial" w:eastAsia="Times New Roman" w:hAnsi="Arial" w:cs="Tahoma"/>
          <w:snapToGrid w:val="0"/>
          <w:szCs w:val="20"/>
        </w:rPr>
        <w:t xml:space="preserve"> basic position on the use of land and natural resources within its planning area and is the framework within which Local Official Plans, amendments</w:t>
      </w:r>
      <w:r>
        <w:rPr>
          <w:rFonts w:ascii="Arial" w:eastAsia="Times New Roman" w:hAnsi="Arial" w:cs="Tahoma"/>
          <w:snapToGrid w:val="0"/>
          <w:szCs w:val="20"/>
        </w:rPr>
        <w:t>,</w:t>
      </w:r>
      <w:r w:rsidRPr="00754B82">
        <w:rPr>
          <w:rFonts w:ascii="Arial" w:eastAsia="Times New Roman" w:hAnsi="Arial" w:cs="Tahoma"/>
          <w:snapToGrid w:val="0"/>
          <w:szCs w:val="20"/>
        </w:rPr>
        <w:t xml:space="preserve"> and by-laws shall be prepared. Section 51 describes that the Regional Structure consists of several mutually exclusive land use designations including subsection (2.3) Mineral Resource Extraction </w:t>
      </w:r>
      <w:r w:rsidRPr="00754B82">
        <w:rPr>
          <w:rFonts w:ascii="Arial" w:eastAsia="Times New Roman" w:hAnsi="Arial" w:cs="Tahoma"/>
          <w:snapToGrid w:val="0"/>
          <w:szCs w:val="20"/>
        </w:rPr>
        <w:lastRenderedPageBreak/>
        <w:t xml:space="preserve">Areas, where a valid licence has been issued under the </w:t>
      </w:r>
      <w:r>
        <w:rPr>
          <w:rFonts w:ascii="Arial" w:eastAsia="Times New Roman" w:hAnsi="Arial" w:cs="Tahoma"/>
          <w:snapToGrid w:val="0"/>
          <w:szCs w:val="20"/>
        </w:rPr>
        <w:t>ARA</w:t>
      </w:r>
      <w:r w:rsidR="0095786E">
        <w:rPr>
          <w:rFonts w:ascii="Arial" w:eastAsia="Times New Roman" w:hAnsi="Arial" w:cs="Tahoma"/>
          <w:snapToGrid w:val="0"/>
          <w:szCs w:val="20"/>
        </w:rPr>
        <w:t>,</w:t>
      </w:r>
      <w:r>
        <w:rPr>
          <w:rFonts w:ascii="Arial" w:eastAsia="Times New Roman" w:hAnsi="Arial" w:cs="Tahoma"/>
          <w:snapToGrid w:val="0"/>
          <w:szCs w:val="20"/>
        </w:rPr>
        <w:t xml:space="preserve"> </w:t>
      </w:r>
      <w:r w:rsidRPr="00754B82">
        <w:rPr>
          <w:rFonts w:ascii="Arial" w:eastAsia="Times New Roman" w:hAnsi="Arial" w:cs="Tahoma"/>
          <w:snapToGrid w:val="0"/>
          <w:szCs w:val="20"/>
        </w:rPr>
        <w:t>and (3) Regional Natural Heritage System, a system of connected natural areas and open space to preserve and enhance the biological diversity and ecological functions within Halton</w:t>
      </w:r>
    </w:p>
    <w:p w14:paraId="761EDCCD" w14:textId="77777777" w:rsidR="00754B82" w:rsidRPr="00754B82" w:rsidRDefault="00754B82" w:rsidP="00754B82">
      <w:pPr>
        <w:widowControl w:val="0"/>
        <w:tabs>
          <w:tab w:val="left" w:pos="-1368"/>
          <w:tab w:val="left" w:pos="-720"/>
          <w:tab w:val="left" w:pos="1152"/>
          <w:tab w:val="left" w:pos="2700"/>
        </w:tabs>
        <w:spacing w:after="0" w:line="240" w:lineRule="auto"/>
        <w:rPr>
          <w:rFonts w:ascii="Arial" w:eastAsia="Times New Roman" w:hAnsi="Arial" w:cs="Arial"/>
          <w:snapToGrid w:val="0"/>
          <w:color w:val="000000"/>
          <w:szCs w:val="20"/>
          <w:shd w:val="clear" w:color="auto" w:fill="FFFFFF"/>
        </w:rPr>
      </w:pPr>
    </w:p>
    <w:p w14:paraId="1909AA26" w14:textId="4CBC5687"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r w:rsidRPr="00754B82">
        <w:rPr>
          <w:rFonts w:ascii="Arial" w:eastAsia="Times New Roman" w:hAnsi="Arial" w:cs="Arial"/>
          <w:snapToGrid w:val="0"/>
          <w:color w:val="000000"/>
          <w:szCs w:val="20"/>
          <w:shd w:val="clear" w:color="auto" w:fill="FFFFFF"/>
        </w:rPr>
        <w:t>Map 1G Key Features within the Greenbelt and Regional Natural Heritage System identif</w:t>
      </w:r>
      <w:r w:rsidR="000074C6">
        <w:rPr>
          <w:rFonts w:ascii="Arial" w:eastAsia="Times New Roman" w:hAnsi="Arial" w:cs="Arial"/>
          <w:snapToGrid w:val="0"/>
          <w:color w:val="000000"/>
          <w:szCs w:val="20"/>
          <w:shd w:val="clear" w:color="auto" w:fill="FFFFFF"/>
        </w:rPr>
        <w:t>ies</w:t>
      </w:r>
      <w:r w:rsidRPr="00754B82">
        <w:rPr>
          <w:rFonts w:ascii="Arial" w:eastAsia="Times New Roman" w:hAnsi="Arial" w:cs="Arial"/>
          <w:snapToGrid w:val="0"/>
          <w:color w:val="000000"/>
          <w:szCs w:val="20"/>
          <w:shd w:val="clear" w:color="auto" w:fill="FFFFFF"/>
        </w:rPr>
        <w:t xml:space="preserve"> the lands directly to the north of the subject property as “Key Features” and “Enhancement Areas, Linkages and Buffers”</w:t>
      </w:r>
    </w:p>
    <w:p w14:paraId="22D12915" w14:textId="77777777" w:rsidR="00754B82" w:rsidRPr="00754B82" w:rsidRDefault="00754B82" w:rsidP="00754B82">
      <w:pPr>
        <w:widowControl w:val="0"/>
        <w:tabs>
          <w:tab w:val="left" w:pos="-1368"/>
          <w:tab w:val="left" w:pos="-720"/>
          <w:tab w:val="left" w:pos="1152"/>
          <w:tab w:val="left" w:pos="2700"/>
        </w:tabs>
        <w:spacing w:after="0" w:line="240" w:lineRule="auto"/>
        <w:rPr>
          <w:rFonts w:ascii="Arial" w:eastAsia="Times New Roman" w:hAnsi="Arial" w:cs="Arial"/>
          <w:snapToGrid w:val="0"/>
          <w:color w:val="000000"/>
          <w:szCs w:val="20"/>
          <w:shd w:val="clear" w:color="auto" w:fill="FFFFFF"/>
        </w:rPr>
      </w:pPr>
    </w:p>
    <w:p w14:paraId="4D21C3B9" w14:textId="77777777"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Tahoma"/>
          <w:snapToGrid w:val="0"/>
          <w:szCs w:val="20"/>
        </w:rPr>
      </w:pPr>
      <w:r w:rsidRPr="00754B82">
        <w:rPr>
          <w:rFonts w:ascii="Arial" w:eastAsia="Times New Roman" w:hAnsi="Arial" w:cs="Arial"/>
          <w:snapToGrid w:val="0"/>
          <w:color w:val="000000"/>
          <w:szCs w:val="20"/>
          <w:shd w:val="clear" w:color="auto" w:fill="FFFFFF"/>
        </w:rPr>
        <w:t>Section 110(6) identifies that it is the policy of the Region to consider mineral aggregate resource extraction as an interim use and require the rehabilitation of all such sites to form part of the Greenbelt or Regional Natural Heritage System or the Agricultural Area, with the proposed after-uses being in conformity with the applicable policies of that land use designation.</w:t>
      </w:r>
      <w:r w:rsidRPr="00754B82">
        <w:rPr>
          <w:rFonts w:ascii="Arial" w:eastAsia="Times New Roman" w:hAnsi="Arial" w:cs="Tahoma"/>
          <w:snapToGrid w:val="0"/>
          <w:szCs w:val="20"/>
        </w:rPr>
        <w:t xml:space="preserve"> Further, Section (6.2) provides that any after use not permitted in Section 109 of the OP shall require an amendment to the Regional Plan and where applicable, the Niagara Escarpment Plan.</w:t>
      </w:r>
    </w:p>
    <w:p w14:paraId="235E79C8" w14:textId="77777777"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Tahoma"/>
          <w:snapToGrid w:val="0"/>
          <w:szCs w:val="20"/>
        </w:rPr>
      </w:pPr>
    </w:p>
    <w:p w14:paraId="7A72C4DF" w14:textId="53B513A6"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r w:rsidRPr="00754B82">
        <w:rPr>
          <w:rFonts w:ascii="Arial" w:eastAsia="Times New Roman" w:hAnsi="Arial" w:cs="Tahoma"/>
          <w:snapToGrid w:val="0"/>
          <w:szCs w:val="20"/>
        </w:rPr>
        <w:t xml:space="preserve">The proposed amendment is consistent with the Regional OP. If approved, the Regional OP would be required to be updated to reflect the new designation(s) and be brought into conformity with the NEP. Staff notes that the Region is currently undertaking a Regional OP Review and that if the timing aligned, the conformity exercise could take place as part of the OP Review. </w:t>
      </w:r>
    </w:p>
    <w:p w14:paraId="1FF78956" w14:textId="77777777"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p>
    <w:p w14:paraId="765C787D" w14:textId="77777777" w:rsidR="00754B82" w:rsidRPr="00754B82" w:rsidRDefault="00754B82" w:rsidP="00754B82">
      <w:pPr>
        <w:widowControl w:val="0"/>
        <w:tabs>
          <w:tab w:val="left" w:pos="-1368"/>
          <w:tab w:val="left" w:pos="-720"/>
          <w:tab w:val="left" w:pos="1152"/>
          <w:tab w:val="left" w:pos="2700"/>
        </w:tabs>
        <w:spacing w:after="0" w:line="240" w:lineRule="auto"/>
        <w:jc w:val="both"/>
        <w:outlineLvl w:val="4"/>
        <w:rPr>
          <w:rFonts w:ascii="Arial" w:eastAsia="Times New Roman" w:hAnsi="Arial" w:cs="Arial"/>
          <w:b/>
          <w:snapToGrid w:val="0"/>
          <w:szCs w:val="24"/>
        </w:rPr>
      </w:pPr>
      <w:r w:rsidRPr="00754B82">
        <w:rPr>
          <w:rFonts w:ascii="Arial" w:eastAsia="Times New Roman" w:hAnsi="Arial" w:cs="Arial"/>
          <w:b/>
          <w:snapToGrid w:val="0"/>
          <w:szCs w:val="24"/>
        </w:rPr>
        <w:t xml:space="preserve">Town of Milton Official Plan </w:t>
      </w:r>
    </w:p>
    <w:p w14:paraId="548741DB" w14:textId="77777777" w:rsidR="00754B82" w:rsidRPr="00754B82" w:rsidRDefault="00754B82" w:rsidP="00754B82">
      <w:pPr>
        <w:widowControl w:val="0"/>
        <w:tabs>
          <w:tab w:val="left" w:pos="-1368"/>
          <w:tab w:val="left" w:pos="-720"/>
          <w:tab w:val="left" w:pos="1152"/>
          <w:tab w:val="left" w:pos="2700"/>
        </w:tabs>
        <w:spacing w:after="0" w:line="240" w:lineRule="auto"/>
        <w:rPr>
          <w:rFonts w:ascii="Arial" w:eastAsia="Times New Roman" w:hAnsi="Arial" w:cs="Arial"/>
          <w:b/>
          <w:bCs/>
          <w:snapToGrid w:val="0"/>
          <w:color w:val="000000"/>
          <w:szCs w:val="20"/>
          <w:shd w:val="clear" w:color="auto" w:fill="FFFFFF"/>
        </w:rPr>
      </w:pPr>
    </w:p>
    <w:p w14:paraId="63F63E81" w14:textId="422F0895"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Arial"/>
          <w:snapToGrid w:val="0"/>
          <w:color w:val="000000"/>
          <w:szCs w:val="20"/>
          <w:shd w:val="clear" w:color="auto" w:fill="FFFFFF"/>
        </w:rPr>
      </w:pPr>
      <w:r w:rsidRPr="00754B82">
        <w:rPr>
          <w:rFonts w:ascii="Arial" w:eastAsia="Times New Roman" w:hAnsi="Arial" w:cs="Arial"/>
          <w:snapToGrid w:val="0"/>
          <w:color w:val="000000"/>
          <w:szCs w:val="20"/>
          <w:shd w:val="clear" w:color="auto" w:fill="FFFFFF"/>
        </w:rPr>
        <w:t xml:space="preserve">The subject lands are identified as MREA and “Greenlands A” Area in the area of the pond and watercourse features, in Schedule A (Land Use Plan), to the Town of Milton Official Plan (2008). Staff notes that the area identified as “Greenlands A” in the Town OP is not consistent with the current NEP land use designations for the subject lands, which includes the entirety of the property within the MREA designation. </w:t>
      </w:r>
      <w:r w:rsidRPr="00F54551">
        <w:rPr>
          <w:rFonts w:ascii="Arial" w:eastAsia="Times New Roman" w:hAnsi="Arial" w:cs="Arial"/>
          <w:snapToGrid w:val="0"/>
          <w:color w:val="000000"/>
          <w:szCs w:val="20"/>
          <w:shd w:val="clear" w:color="auto" w:fill="FFFFFF"/>
        </w:rPr>
        <w:t xml:space="preserve">The Town OP appears to have </w:t>
      </w:r>
      <w:r w:rsidR="00B75F07" w:rsidRPr="00F54551">
        <w:rPr>
          <w:rFonts w:ascii="Arial" w:eastAsia="Times New Roman" w:hAnsi="Arial" w:cs="Arial"/>
          <w:snapToGrid w:val="0"/>
          <w:color w:val="000000"/>
          <w:szCs w:val="20"/>
          <w:shd w:val="clear" w:color="auto" w:fill="FFFFFF"/>
        </w:rPr>
        <w:t>included</w:t>
      </w:r>
      <w:r w:rsidRPr="00F54551">
        <w:rPr>
          <w:rFonts w:ascii="Arial" w:eastAsia="Times New Roman" w:hAnsi="Arial" w:cs="Arial"/>
          <w:snapToGrid w:val="0"/>
          <w:color w:val="000000"/>
          <w:szCs w:val="20"/>
          <w:shd w:val="clear" w:color="auto" w:fill="FFFFFF"/>
        </w:rPr>
        <w:t xml:space="preserve"> only those lands within the identified limit of extraction</w:t>
      </w:r>
      <w:r w:rsidR="00B477EE" w:rsidRPr="00F54551">
        <w:rPr>
          <w:rFonts w:ascii="Arial" w:eastAsia="Times New Roman" w:hAnsi="Arial" w:cs="Arial"/>
          <w:snapToGrid w:val="0"/>
          <w:color w:val="000000"/>
          <w:szCs w:val="20"/>
          <w:shd w:val="clear" w:color="auto" w:fill="FFFFFF"/>
        </w:rPr>
        <w:t xml:space="preserve"> on the ARA site plan</w:t>
      </w:r>
      <w:r w:rsidRPr="00F54551">
        <w:rPr>
          <w:rFonts w:ascii="Arial" w:eastAsia="Times New Roman" w:hAnsi="Arial" w:cs="Arial"/>
          <w:snapToGrid w:val="0"/>
          <w:color w:val="000000"/>
          <w:szCs w:val="20"/>
          <w:shd w:val="clear" w:color="auto" w:fill="FFFFFF"/>
        </w:rPr>
        <w:t xml:space="preserve"> </w:t>
      </w:r>
      <w:r w:rsidR="00B477EE" w:rsidRPr="00F54551">
        <w:rPr>
          <w:rFonts w:ascii="Arial" w:eastAsia="Times New Roman" w:hAnsi="Arial" w:cs="Arial"/>
          <w:snapToGrid w:val="0"/>
          <w:color w:val="000000"/>
          <w:szCs w:val="20"/>
          <w:shd w:val="clear" w:color="auto" w:fill="FFFFFF"/>
        </w:rPr>
        <w:t xml:space="preserve">within the MREA </w:t>
      </w:r>
      <w:r w:rsidRPr="00F54551">
        <w:rPr>
          <w:rFonts w:ascii="Arial" w:eastAsia="Times New Roman" w:hAnsi="Arial" w:cs="Arial"/>
          <w:snapToGrid w:val="0"/>
          <w:color w:val="000000"/>
          <w:szCs w:val="20"/>
          <w:shd w:val="clear" w:color="auto" w:fill="FFFFFF"/>
        </w:rPr>
        <w:t>designa</w:t>
      </w:r>
      <w:r w:rsidR="00B477EE" w:rsidRPr="00F54551">
        <w:rPr>
          <w:rFonts w:ascii="Arial" w:eastAsia="Times New Roman" w:hAnsi="Arial" w:cs="Arial"/>
          <w:snapToGrid w:val="0"/>
          <w:color w:val="000000"/>
          <w:szCs w:val="20"/>
          <w:shd w:val="clear" w:color="auto" w:fill="FFFFFF"/>
        </w:rPr>
        <w:t>tion</w:t>
      </w:r>
      <w:r w:rsidRPr="00F54551">
        <w:rPr>
          <w:rFonts w:ascii="Arial" w:eastAsia="Times New Roman" w:hAnsi="Arial" w:cs="Arial"/>
          <w:snapToGrid w:val="0"/>
          <w:color w:val="000000"/>
          <w:szCs w:val="20"/>
          <w:shd w:val="clear" w:color="auto" w:fill="FFFFFF"/>
        </w:rPr>
        <w:t>, while the NEP include</w:t>
      </w:r>
      <w:r w:rsidR="00B477EE" w:rsidRPr="00F54551">
        <w:rPr>
          <w:rFonts w:ascii="Arial" w:eastAsia="Times New Roman" w:hAnsi="Arial" w:cs="Arial"/>
          <w:snapToGrid w:val="0"/>
          <w:color w:val="000000"/>
          <w:szCs w:val="20"/>
          <w:shd w:val="clear" w:color="auto" w:fill="FFFFFF"/>
        </w:rPr>
        <w:t>s</w:t>
      </w:r>
      <w:r w:rsidRPr="00F54551">
        <w:rPr>
          <w:rFonts w:ascii="Arial" w:eastAsia="Times New Roman" w:hAnsi="Arial" w:cs="Arial"/>
          <w:snapToGrid w:val="0"/>
          <w:color w:val="000000"/>
          <w:szCs w:val="20"/>
          <w:shd w:val="clear" w:color="auto" w:fill="FFFFFF"/>
        </w:rPr>
        <w:t xml:space="preserve"> all the former licenced boundary in the MREA designation.</w:t>
      </w:r>
      <w:r w:rsidRPr="00754B82">
        <w:rPr>
          <w:rFonts w:ascii="Arial" w:eastAsia="Times New Roman" w:hAnsi="Arial" w:cs="Arial"/>
          <w:snapToGrid w:val="0"/>
          <w:color w:val="000000"/>
          <w:szCs w:val="20"/>
          <w:shd w:val="clear" w:color="auto" w:fill="FFFFFF"/>
        </w:rPr>
        <w:t xml:space="preserve"> </w:t>
      </w:r>
    </w:p>
    <w:p w14:paraId="78C8D3CB" w14:textId="77777777" w:rsidR="00754B82" w:rsidRPr="00754B82" w:rsidRDefault="00754B82" w:rsidP="00754B82">
      <w:pPr>
        <w:widowControl w:val="0"/>
        <w:tabs>
          <w:tab w:val="left" w:pos="-1368"/>
          <w:tab w:val="left" w:pos="-720"/>
          <w:tab w:val="left" w:pos="1152"/>
          <w:tab w:val="left" w:pos="2700"/>
        </w:tabs>
        <w:spacing w:after="0" w:line="240" w:lineRule="auto"/>
        <w:rPr>
          <w:rFonts w:ascii="Arial" w:eastAsia="Times New Roman" w:hAnsi="Arial" w:cs="Arial"/>
          <w:snapToGrid w:val="0"/>
          <w:color w:val="000000"/>
          <w:szCs w:val="20"/>
          <w:shd w:val="clear" w:color="auto" w:fill="FFFFFF"/>
        </w:rPr>
      </w:pPr>
    </w:p>
    <w:p w14:paraId="4B721964" w14:textId="64BFADF4"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Tahoma"/>
          <w:i/>
          <w:iCs/>
          <w:snapToGrid w:val="0"/>
          <w:szCs w:val="20"/>
        </w:rPr>
      </w:pPr>
      <w:r w:rsidRPr="00754B82">
        <w:rPr>
          <w:rFonts w:ascii="Arial" w:eastAsia="Times New Roman" w:hAnsi="Arial" w:cs="Arial"/>
          <w:snapToGrid w:val="0"/>
          <w:color w:val="000000"/>
          <w:szCs w:val="20"/>
          <w:shd w:val="clear" w:color="auto" w:fill="FFFFFF"/>
        </w:rPr>
        <w:t>Section</w:t>
      </w:r>
      <w:r w:rsidRPr="00754B82">
        <w:rPr>
          <w:rFonts w:ascii="Arial" w:eastAsia="Times New Roman" w:hAnsi="Arial" w:cs="Tahoma"/>
          <w:snapToGrid w:val="0"/>
          <w:szCs w:val="20"/>
        </w:rPr>
        <w:t xml:space="preserve"> 4.7.1.1 of the OP identifies that the purpose of the MREA designation is: </w:t>
      </w:r>
      <w:r w:rsidRPr="00754B82">
        <w:rPr>
          <w:rFonts w:ascii="Arial" w:eastAsia="Times New Roman" w:hAnsi="Arial" w:cs="Tahoma"/>
          <w:i/>
          <w:iCs/>
          <w:snapToGrid w:val="0"/>
          <w:szCs w:val="20"/>
        </w:rPr>
        <w:t>a) to protect legally existing pits and quarries, being those that are licensed under the Aggregate Resources Act, from incompatible land uses; b) to minimize the impact of mineral resource extraction operations on the Greenlands System, the Escarpment Natural, Escarpment Protection</w:t>
      </w:r>
      <w:r w:rsidR="0095786E">
        <w:rPr>
          <w:rFonts w:ascii="Arial" w:eastAsia="Times New Roman" w:hAnsi="Arial" w:cs="Tahoma"/>
          <w:i/>
          <w:iCs/>
          <w:snapToGrid w:val="0"/>
          <w:szCs w:val="20"/>
        </w:rPr>
        <w:t>,</w:t>
      </w:r>
      <w:r w:rsidRPr="00754B82">
        <w:rPr>
          <w:rFonts w:ascii="Arial" w:eastAsia="Times New Roman" w:hAnsi="Arial" w:cs="Tahoma"/>
          <w:i/>
          <w:iCs/>
          <w:snapToGrid w:val="0"/>
          <w:szCs w:val="20"/>
        </w:rPr>
        <w:t xml:space="preserve"> and Escarpment Rural Areas; c) to provide policies and criteria for new licence applications for pits and quarries; d) to ensure the progressive rehabilitation of pits and quarries to appropriate after use in accordance with the rehabilitation plan within the time frame of the license, which is compatible with the </w:t>
      </w:r>
      <w:r w:rsidRPr="00754B82">
        <w:rPr>
          <w:rFonts w:ascii="Arial" w:eastAsia="Times New Roman" w:hAnsi="Arial" w:cs="Tahoma"/>
          <w:i/>
          <w:iCs/>
          <w:snapToGrid w:val="0"/>
          <w:szCs w:val="20"/>
        </w:rPr>
        <w:lastRenderedPageBreak/>
        <w:t>permitted uses of this designation, the surrounding environment and existing uses; and, e) to encourage, where possible, the rehabilitated after-uses of pits and quarries to be integrated into the Niagara Escarpment Parks and Open Space System or the Greenlands A or B Area designations or for agricultural use.</w:t>
      </w:r>
    </w:p>
    <w:p w14:paraId="7344FAE6" w14:textId="77777777" w:rsidR="00754B82" w:rsidRPr="00754B82" w:rsidRDefault="00754B82" w:rsidP="00754B82">
      <w:pPr>
        <w:widowControl w:val="0"/>
        <w:tabs>
          <w:tab w:val="left" w:pos="-1368"/>
          <w:tab w:val="left" w:pos="-720"/>
          <w:tab w:val="left" w:pos="1152"/>
          <w:tab w:val="left" w:pos="2700"/>
        </w:tabs>
        <w:spacing w:after="0" w:line="240" w:lineRule="auto"/>
        <w:rPr>
          <w:rFonts w:ascii="Arial" w:eastAsia="Times New Roman" w:hAnsi="Arial" w:cs="Tahoma"/>
          <w:snapToGrid w:val="0"/>
          <w:szCs w:val="20"/>
        </w:rPr>
      </w:pPr>
    </w:p>
    <w:p w14:paraId="385A4723" w14:textId="77777777" w:rsidR="00754B82" w:rsidRPr="00754B82" w:rsidRDefault="00754B82" w:rsidP="00754B82">
      <w:pPr>
        <w:widowControl w:val="0"/>
        <w:tabs>
          <w:tab w:val="left" w:pos="-1368"/>
          <w:tab w:val="left" w:pos="-720"/>
          <w:tab w:val="left" w:pos="1152"/>
          <w:tab w:val="left" w:pos="2700"/>
        </w:tabs>
        <w:spacing w:after="0"/>
        <w:rPr>
          <w:rFonts w:ascii="Arial" w:eastAsia="Times New Roman" w:hAnsi="Arial" w:cs="Tahoma"/>
          <w:snapToGrid w:val="0"/>
          <w:szCs w:val="20"/>
        </w:rPr>
      </w:pPr>
      <w:r w:rsidRPr="00754B82">
        <w:rPr>
          <w:rFonts w:ascii="Arial" w:eastAsia="Times New Roman" w:hAnsi="Arial" w:cs="Tahoma"/>
          <w:snapToGrid w:val="0"/>
          <w:szCs w:val="20"/>
        </w:rPr>
        <w:t>Section 4.8 of the Town OP relates to the Greenlands A designation. Generally, the Greenlands A designation provides for the protection of the underlying environmental features.  The Greenlands A designation includes land and water areas that meet one or more of the following criteria:</w:t>
      </w:r>
    </w:p>
    <w:p w14:paraId="7A67CDAC" w14:textId="77777777" w:rsidR="00754B82" w:rsidRPr="00754B82" w:rsidRDefault="00754B82" w:rsidP="00754B82">
      <w:pPr>
        <w:widowControl w:val="0"/>
        <w:tabs>
          <w:tab w:val="left" w:pos="-1368"/>
          <w:tab w:val="left" w:pos="-720"/>
          <w:tab w:val="left" w:pos="1152"/>
          <w:tab w:val="left" w:pos="2700"/>
        </w:tabs>
        <w:spacing w:after="0" w:line="240" w:lineRule="auto"/>
        <w:rPr>
          <w:rFonts w:ascii="Arial" w:eastAsia="Times New Roman" w:hAnsi="Arial" w:cs="Tahoma"/>
          <w:snapToGrid w:val="0"/>
          <w:szCs w:val="20"/>
        </w:rPr>
      </w:pPr>
    </w:p>
    <w:p w14:paraId="7B4A3605" w14:textId="77777777" w:rsidR="00754B82" w:rsidRPr="00754B82" w:rsidRDefault="00754B82" w:rsidP="00754B82">
      <w:pPr>
        <w:widowControl w:val="0"/>
        <w:numPr>
          <w:ilvl w:val="0"/>
          <w:numId w:val="25"/>
        </w:numPr>
        <w:tabs>
          <w:tab w:val="left" w:pos="-1368"/>
          <w:tab w:val="left" w:pos="-720"/>
          <w:tab w:val="left" w:pos="426"/>
          <w:tab w:val="left" w:pos="2700"/>
        </w:tabs>
        <w:spacing w:after="0" w:line="240" w:lineRule="auto"/>
        <w:ind w:left="426" w:hanging="426"/>
        <w:rPr>
          <w:rFonts w:ascii="Arial" w:eastAsia="Times New Roman" w:hAnsi="Arial" w:cs="Tahoma"/>
          <w:i/>
          <w:iCs/>
          <w:snapToGrid w:val="0"/>
          <w:szCs w:val="20"/>
        </w:rPr>
      </w:pPr>
      <w:r w:rsidRPr="00754B82">
        <w:rPr>
          <w:rFonts w:ascii="Arial" w:eastAsia="Times New Roman" w:hAnsi="Arial" w:cs="Tahoma"/>
          <w:i/>
          <w:iCs/>
          <w:snapToGrid w:val="0"/>
          <w:szCs w:val="20"/>
        </w:rPr>
        <w:t>Areas included in the Regulatory Flood Plains, as determined and mapped by the appropriate Conservation Authority, and refined from time to time, as shown on Schedule "B" of this Plan;</w:t>
      </w:r>
    </w:p>
    <w:p w14:paraId="69074571" w14:textId="77777777" w:rsidR="00754B82" w:rsidRPr="00754B82" w:rsidRDefault="00754B82" w:rsidP="00754B82">
      <w:pPr>
        <w:widowControl w:val="0"/>
        <w:numPr>
          <w:ilvl w:val="0"/>
          <w:numId w:val="25"/>
        </w:numPr>
        <w:tabs>
          <w:tab w:val="left" w:pos="-1368"/>
          <w:tab w:val="left" w:pos="-720"/>
          <w:tab w:val="left" w:pos="426"/>
          <w:tab w:val="left" w:pos="2700"/>
        </w:tabs>
        <w:spacing w:after="0" w:line="240" w:lineRule="auto"/>
        <w:ind w:left="426" w:hanging="426"/>
        <w:rPr>
          <w:rFonts w:ascii="Arial" w:eastAsia="Times New Roman" w:hAnsi="Arial" w:cs="Tahoma"/>
          <w:i/>
          <w:iCs/>
          <w:snapToGrid w:val="0"/>
          <w:szCs w:val="20"/>
        </w:rPr>
      </w:pPr>
      <w:r w:rsidRPr="00754B82">
        <w:rPr>
          <w:rFonts w:ascii="Arial" w:eastAsia="Times New Roman" w:hAnsi="Arial" w:cs="Tahoma"/>
          <w:i/>
          <w:iCs/>
          <w:snapToGrid w:val="0"/>
          <w:szCs w:val="20"/>
        </w:rPr>
        <w:t>Provincially Significant Wetland, as determined by the Ministry of Natural Resources and refined from time to time; and,</w:t>
      </w:r>
    </w:p>
    <w:p w14:paraId="56FFE1FB" w14:textId="28816400" w:rsidR="00754B82" w:rsidRPr="00754B82" w:rsidRDefault="00754B82" w:rsidP="00754B82">
      <w:pPr>
        <w:widowControl w:val="0"/>
        <w:numPr>
          <w:ilvl w:val="0"/>
          <w:numId w:val="25"/>
        </w:numPr>
        <w:tabs>
          <w:tab w:val="left" w:pos="-1368"/>
          <w:tab w:val="left" w:pos="-720"/>
          <w:tab w:val="left" w:pos="426"/>
          <w:tab w:val="left" w:pos="2700"/>
        </w:tabs>
        <w:spacing w:after="0" w:line="240" w:lineRule="auto"/>
        <w:ind w:left="426" w:hanging="426"/>
        <w:rPr>
          <w:rFonts w:ascii="Arial" w:eastAsia="Times New Roman" w:hAnsi="Arial" w:cs="Arial"/>
          <w:i/>
          <w:iCs/>
          <w:snapToGrid w:val="0"/>
          <w:color w:val="000000"/>
          <w:szCs w:val="20"/>
          <w:shd w:val="clear" w:color="auto" w:fill="FFFFFF"/>
        </w:rPr>
      </w:pPr>
      <w:r w:rsidRPr="00754B82">
        <w:rPr>
          <w:rFonts w:ascii="Arial" w:eastAsia="Times New Roman" w:hAnsi="Arial" w:cs="Tahoma"/>
          <w:i/>
          <w:iCs/>
          <w:snapToGrid w:val="0"/>
          <w:szCs w:val="20"/>
        </w:rPr>
        <w:t>Significant valley lands or significant portions of the habitat of endangered and threatened species, as determined by the Town, the Region, the appropriate Conservation Authority</w:t>
      </w:r>
      <w:r w:rsidR="0095786E">
        <w:rPr>
          <w:rFonts w:ascii="Arial" w:eastAsia="Times New Roman" w:hAnsi="Arial" w:cs="Tahoma"/>
          <w:i/>
          <w:iCs/>
          <w:snapToGrid w:val="0"/>
          <w:szCs w:val="20"/>
        </w:rPr>
        <w:t>,</w:t>
      </w:r>
      <w:r w:rsidRPr="00754B82">
        <w:rPr>
          <w:rFonts w:ascii="Arial" w:eastAsia="Times New Roman" w:hAnsi="Arial" w:cs="Tahoma"/>
          <w:i/>
          <w:iCs/>
          <w:snapToGrid w:val="0"/>
          <w:szCs w:val="20"/>
        </w:rPr>
        <w:t xml:space="preserve"> and the Ministry of Natural Resources, as refined from time to time.</w:t>
      </w:r>
    </w:p>
    <w:p w14:paraId="318D4389" w14:textId="77777777" w:rsidR="00754B82" w:rsidRPr="00754B82" w:rsidRDefault="00754B82" w:rsidP="00754B82">
      <w:pPr>
        <w:widowControl w:val="0"/>
        <w:tabs>
          <w:tab w:val="left" w:pos="-1368"/>
          <w:tab w:val="left" w:pos="-720"/>
          <w:tab w:val="left" w:pos="426"/>
          <w:tab w:val="left" w:pos="2700"/>
        </w:tabs>
        <w:spacing w:after="0" w:line="240" w:lineRule="auto"/>
        <w:rPr>
          <w:rFonts w:ascii="Arial" w:eastAsia="Times New Roman" w:hAnsi="Arial" w:cs="Tahoma"/>
          <w:i/>
          <w:iCs/>
          <w:snapToGrid w:val="0"/>
          <w:szCs w:val="20"/>
        </w:rPr>
      </w:pPr>
    </w:p>
    <w:p w14:paraId="1364A116" w14:textId="18ED5098" w:rsidR="00754B82" w:rsidRPr="00754B82" w:rsidRDefault="00754B82" w:rsidP="00754B82">
      <w:pPr>
        <w:widowControl w:val="0"/>
        <w:tabs>
          <w:tab w:val="left" w:pos="-1368"/>
          <w:tab w:val="left" w:pos="-720"/>
          <w:tab w:val="left" w:pos="426"/>
          <w:tab w:val="left" w:pos="2700"/>
        </w:tabs>
        <w:spacing w:after="0"/>
        <w:rPr>
          <w:rFonts w:ascii="Arial" w:eastAsia="Times New Roman" w:hAnsi="Arial" w:cs="Tahoma"/>
          <w:snapToGrid w:val="0"/>
          <w:szCs w:val="20"/>
        </w:rPr>
      </w:pPr>
      <w:r w:rsidRPr="00754B82">
        <w:rPr>
          <w:rFonts w:ascii="Arial" w:eastAsia="Times New Roman" w:hAnsi="Arial" w:cs="Tahoma"/>
          <w:snapToGrid w:val="0"/>
          <w:szCs w:val="20"/>
        </w:rPr>
        <w:t xml:space="preserve">Staff suggests it is likely that the portion of the subject lands identified as Greenlands A (the water feature and watercourse), </w:t>
      </w:r>
      <w:r w:rsidR="00F54551">
        <w:rPr>
          <w:rFonts w:ascii="Arial" w:eastAsia="Times New Roman" w:hAnsi="Arial" w:cs="Tahoma"/>
          <w:snapToGrid w:val="0"/>
          <w:szCs w:val="20"/>
        </w:rPr>
        <w:t xml:space="preserve">is </w:t>
      </w:r>
      <w:r w:rsidRPr="00754B82">
        <w:rPr>
          <w:rFonts w:ascii="Arial" w:eastAsia="Times New Roman" w:hAnsi="Arial" w:cs="Tahoma"/>
          <w:snapToGrid w:val="0"/>
          <w:szCs w:val="20"/>
        </w:rPr>
        <w:t xml:space="preserve">a result of </w:t>
      </w:r>
      <w:r w:rsidR="00B477EE">
        <w:rPr>
          <w:rFonts w:ascii="Arial" w:eastAsia="Times New Roman" w:hAnsi="Arial" w:cs="Tahoma"/>
          <w:snapToGrid w:val="0"/>
          <w:szCs w:val="20"/>
        </w:rPr>
        <w:t>C</w:t>
      </w:r>
      <w:r w:rsidRPr="00754B82">
        <w:rPr>
          <w:rFonts w:ascii="Arial" w:eastAsia="Times New Roman" w:hAnsi="Arial" w:cs="Tahoma"/>
          <w:snapToGrid w:val="0"/>
          <w:szCs w:val="20"/>
        </w:rPr>
        <w:t xml:space="preserve">riterion a) the area </w:t>
      </w:r>
      <w:r w:rsidR="00B477EE">
        <w:rPr>
          <w:rFonts w:ascii="Arial" w:eastAsia="Times New Roman" w:hAnsi="Arial" w:cs="Tahoma"/>
          <w:snapToGrid w:val="0"/>
          <w:szCs w:val="20"/>
        </w:rPr>
        <w:t>is</w:t>
      </w:r>
      <w:r w:rsidRPr="00754B82">
        <w:rPr>
          <w:rFonts w:ascii="Arial" w:eastAsia="Times New Roman" w:hAnsi="Arial" w:cs="Tahoma"/>
          <w:snapToGrid w:val="0"/>
          <w:szCs w:val="20"/>
        </w:rPr>
        <w:t xml:space="preserve"> included within the conservation authority regulatory flood plain mapping</w:t>
      </w:r>
      <w:r w:rsidR="00F54551">
        <w:rPr>
          <w:rFonts w:ascii="Arial" w:eastAsia="Times New Roman" w:hAnsi="Arial" w:cs="Tahoma"/>
          <w:snapToGrid w:val="0"/>
          <w:szCs w:val="20"/>
        </w:rPr>
        <w:t>.</w:t>
      </w:r>
    </w:p>
    <w:p w14:paraId="168472F4" w14:textId="77777777" w:rsidR="00754B82" w:rsidRPr="00754B82" w:rsidRDefault="00754B82" w:rsidP="00754B82">
      <w:pPr>
        <w:widowControl w:val="0"/>
        <w:tabs>
          <w:tab w:val="left" w:pos="-1368"/>
          <w:tab w:val="left" w:pos="-720"/>
          <w:tab w:val="left" w:pos="426"/>
          <w:tab w:val="left" w:pos="2700"/>
        </w:tabs>
        <w:spacing w:after="0"/>
        <w:rPr>
          <w:rFonts w:ascii="Arial" w:eastAsia="Times New Roman" w:hAnsi="Arial" w:cs="Tahoma"/>
          <w:snapToGrid w:val="0"/>
          <w:szCs w:val="20"/>
        </w:rPr>
      </w:pPr>
    </w:p>
    <w:p w14:paraId="723AC9B0" w14:textId="769E4792" w:rsidR="00754B82" w:rsidRDefault="00754B82" w:rsidP="00754B82">
      <w:pPr>
        <w:widowControl w:val="0"/>
        <w:tabs>
          <w:tab w:val="left" w:pos="-1368"/>
          <w:tab w:val="left" w:pos="-720"/>
          <w:tab w:val="left" w:pos="426"/>
          <w:tab w:val="left" w:pos="2700"/>
        </w:tabs>
        <w:spacing w:after="0"/>
        <w:rPr>
          <w:rFonts w:ascii="Arial" w:eastAsia="Times New Roman" w:hAnsi="Arial" w:cs="Tahoma"/>
          <w:snapToGrid w:val="0"/>
          <w:szCs w:val="20"/>
        </w:rPr>
      </w:pPr>
      <w:r w:rsidRPr="00754B82">
        <w:rPr>
          <w:rFonts w:ascii="Arial" w:eastAsia="Times New Roman" w:hAnsi="Arial" w:cs="Tahoma"/>
          <w:snapToGrid w:val="0"/>
          <w:szCs w:val="20"/>
        </w:rPr>
        <w:t xml:space="preserve">Similar to the permitted uses of the NEP Escarpment Natural Area </w:t>
      </w:r>
      <w:r w:rsidR="00B477EE">
        <w:rPr>
          <w:rFonts w:ascii="Arial" w:eastAsia="Times New Roman" w:hAnsi="Arial" w:cs="Tahoma"/>
          <w:snapToGrid w:val="0"/>
          <w:szCs w:val="20"/>
        </w:rPr>
        <w:t>D</w:t>
      </w:r>
      <w:r w:rsidRPr="00754B82">
        <w:rPr>
          <w:rFonts w:ascii="Arial" w:eastAsia="Times New Roman" w:hAnsi="Arial" w:cs="Tahoma"/>
          <w:snapToGrid w:val="0"/>
          <w:szCs w:val="20"/>
        </w:rPr>
        <w:t xml:space="preserve">esignation, permitted uses in the Greenlands A designation are limited to a) existing agricultural operations; b) non-intensive recreation uses such as nature viewing and pedestrian trail activities only on publicly owned lands or on the Bruce Trail; c) forest, wildlife and fisheries management; d) archaeological activities; e) essential transportation and utility facilities; f) uses permitted in Park or Open Space Master or Management Plans which are not in conflict with the </w:t>
      </w:r>
      <w:r w:rsidR="00F54551">
        <w:rPr>
          <w:rFonts w:ascii="Arial" w:eastAsia="Times New Roman" w:hAnsi="Arial" w:cs="Tahoma"/>
          <w:snapToGrid w:val="0"/>
          <w:szCs w:val="20"/>
        </w:rPr>
        <w:t>NEP</w:t>
      </w:r>
      <w:r w:rsidRPr="00754B82">
        <w:rPr>
          <w:rFonts w:ascii="Arial" w:eastAsia="Times New Roman" w:hAnsi="Arial" w:cs="Tahoma"/>
          <w:snapToGrid w:val="0"/>
          <w:szCs w:val="20"/>
        </w:rPr>
        <w:t xml:space="preserve"> if the subject land is located within the </w:t>
      </w:r>
      <w:r w:rsidR="00F54551">
        <w:rPr>
          <w:rFonts w:ascii="Arial" w:eastAsia="Times New Roman" w:hAnsi="Arial" w:cs="Tahoma"/>
          <w:snapToGrid w:val="0"/>
          <w:szCs w:val="20"/>
        </w:rPr>
        <w:t>NEP</w:t>
      </w:r>
      <w:r w:rsidRPr="00754B82">
        <w:rPr>
          <w:rFonts w:ascii="Arial" w:eastAsia="Times New Roman" w:hAnsi="Arial" w:cs="Tahoma"/>
          <w:snapToGrid w:val="0"/>
          <w:szCs w:val="20"/>
        </w:rPr>
        <w:t xml:space="preserve"> Area; and, g) essential watershed management and flood and erosion control projects carried out or supervised by a public authority.</w:t>
      </w:r>
    </w:p>
    <w:p w14:paraId="25E5DD31" w14:textId="77777777" w:rsidR="00754B82" w:rsidRPr="00754B82" w:rsidRDefault="00754B82" w:rsidP="00754B82">
      <w:pPr>
        <w:widowControl w:val="0"/>
        <w:tabs>
          <w:tab w:val="left" w:pos="-1368"/>
          <w:tab w:val="left" w:pos="-720"/>
          <w:tab w:val="left" w:pos="426"/>
          <w:tab w:val="left" w:pos="2700"/>
        </w:tabs>
        <w:spacing w:after="0"/>
        <w:rPr>
          <w:rFonts w:ascii="Arial" w:eastAsia="Times New Roman" w:hAnsi="Arial" w:cs="Tahoma"/>
          <w:snapToGrid w:val="0"/>
          <w:szCs w:val="20"/>
        </w:rPr>
      </w:pPr>
    </w:p>
    <w:p w14:paraId="520B2E6A" w14:textId="3C75D91F" w:rsidR="003A5BB2" w:rsidRPr="002240E1" w:rsidRDefault="002240E1" w:rsidP="002240E1">
      <w:pPr>
        <w:pStyle w:val="ListParagraph"/>
        <w:widowControl w:val="0"/>
        <w:numPr>
          <w:ilvl w:val="0"/>
          <w:numId w:val="18"/>
        </w:numPr>
        <w:pBdr>
          <w:bottom w:val="single" w:sz="4" w:space="1" w:color="auto"/>
        </w:pBdr>
        <w:tabs>
          <w:tab w:val="left" w:pos="-1368"/>
          <w:tab w:val="left" w:pos="-720"/>
          <w:tab w:val="left" w:pos="426"/>
          <w:tab w:val="left" w:pos="2700"/>
        </w:tabs>
        <w:spacing w:after="0" w:line="240" w:lineRule="auto"/>
        <w:rPr>
          <w:rFonts w:ascii="Arial" w:eastAsia="Times New Roman" w:hAnsi="Arial" w:cs="Arial"/>
          <w:b/>
          <w:i/>
          <w:snapToGrid w:val="0"/>
          <w:szCs w:val="24"/>
        </w:rPr>
      </w:pPr>
      <w:r>
        <w:rPr>
          <w:rFonts w:ascii="Arial" w:eastAsia="Times New Roman" w:hAnsi="Arial" w:cs="Arial"/>
          <w:b/>
          <w:snapToGrid w:val="0"/>
          <w:szCs w:val="24"/>
        </w:rPr>
        <w:t xml:space="preserve">  </w:t>
      </w:r>
      <w:r w:rsidR="00D15817" w:rsidRPr="002240E1">
        <w:rPr>
          <w:rFonts w:ascii="Arial" w:eastAsia="Times New Roman" w:hAnsi="Arial" w:cs="Arial"/>
          <w:b/>
          <w:snapToGrid w:val="0"/>
          <w:szCs w:val="24"/>
        </w:rPr>
        <w:t>CONCLUSIONS</w:t>
      </w:r>
    </w:p>
    <w:p w14:paraId="12006BC2"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 w:val="23"/>
          <w:szCs w:val="23"/>
        </w:rPr>
      </w:pPr>
    </w:p>
    <w:p w14:paraId="59E2046E" w14:textId="2CA679E5" w:rsidR="00D15817" w:rsidRDefault="00D15817" w:rsidP="00D15817">
      <w:pPr>
        <w:autoSpaceDE w:val="0"/>
        <w:autoSpaceDN w:val="0"/>
        <w:adjustRightInd w:val="0"/>
        <w:rPr>
          <w:rFonts w:ascii="Arial" w:hAnsi="Arial" w:cs="Arial"/>
        </w:rPr>
      </w:pPr>
      <w:r>
        <w:rPr>
          <w:rFonts w:ascii="Arial" w:hAnsi="Arial" w:cs="Arial"/>
        </w:rPr>
        <w:t>NEC staff is satisfied that there were no objections received, all comments and recommendations were considered, and the amendment is justified and consistent with the Purpose and Objectives of the NEPDA and NEP</w:t>
      </w:r>
      <w:r w:rsidR="006B07FB">
        <w:rPr>
          <w:rFonts w:ascii="Arial" w:hAnsi="Arial" w:cs="Arial"/>
        </w:rPr>
        <w:t>, PPS, and Official Plans</w:t>
      </w:r>
      <w:r>
        <w:rPr>
          <w:rFonts w:ascii="Arial" w:hAnsi="Arial" w:cs="Arial"/>
        </w:rPr>
        <w:t>.  As no hearing is required, the Commission can proceed with making a recommendation to the Minister.</w:t>
      </w:r>
    </w:p>
    <w:p w14:paraId="099F0369" w14:textId="345295FB" w:rsidR="002240E1" w:rsidRDefault="002240E1" w:rsidP="00D15817">
      <w:pPr>
        <w:autoSpaceDE w:val="0"/>
        <w:autoSpaceDN w:val="0"/>
        <w:adjustRightInd w:val="0"/>
        <w:rPr>
          <w:rFonts w:ascii="Arial" w:hAnsi="Arial" w:cs="Arial"/>
        </w:rPr>
      </w:pPr>
    </w:p>
    <w:p w14:paraId="4FE17558" w14:textId="32076E4D"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rPr>
      </w:pPr>
      <w:r w:rsidRPr="003A5BB2">
        <w:rPr>
          <w:rFonts w:ascii="Arial" w:eastAsia="Times New Roman" w:hAnsi="Arial" w:cs="Arial"/>
          <w:b/>
          <w:snapToGrid w:val="0"/>
          <w:szCs w:val="24"/>
        </w:rPr>
        <w:lastRenderedPageBreak/>
        <w:t>RECOMMENDATION:</w:t>
      </w:r>
    </w:p>
    <w:p w14:paraId="175F947A"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4DBCE871" w14:textId="222355D0" w:rsidR="00D15817" w:rsidRPr="00D15817" w:rsidRDefault="00D15817" w:rsidP="00D15817">
      <w:pPr>
        <w:autoSpaceDE w:val="0"/>
        <w:autoSpaceDN w:val="0"/>
        <w:adjustRightInd w:val="0"/>
        <w:rPr>
          <w:rFonts w:ascii="Arial" w:hAnsi="Arial" w:cs="Arial"/>
        </w:rPr>
      </w:pPr>
      <w:r w:rsidRPr="00D15817">
        <w:rPr>
          <w:rFonts w:ascii="Arial" w:hAnsi="Arial" w:cs="Arial"/>
        </w:rPr>
        <w:t>That the Niagara Escarpment Commission endorse NEP Amendment P</w:t>
      </w:r>
      <w:r>
        <w:rPr>
          <w:rFonts w:ascii="Arial" w:hAnsi="Arial" w:cs="Arial"/>
        </w:rPr>
        <w:t>H 222</w:t>
      </w:r>
      <w:r w:rsidRPr="00D15817">
        <w:rPr>
          <w:rFonts w:ascii="Arial" w:hAnsi="Arial" w:cs="Arial"/>
        </w:rPr>
        <w:t xml:space="preserve"> 21 dated </w:t>
      </w:r>
      <w:r w:rsidR="00754B82">
        <w:rPr>
          <w:rFonts w:ascii="Arial" w:hAnsi="Arial" w:cs="Arial"/>
        </w:rPr>
        <w:t>November 17</w:t>
      </w:r>
      <w:r w:rsidR="00754B82" w:rsidRPr="00D15817">
        <w:rPr>
          <w:rFonts w:ascii="Arial" w:hAnsi="Arial" w:cs="Arial"/>
        </w:rPr>
        <w:t>, 2022</w:t>
      </w:r>
      <w:r w:rsidR="00754B82">
        <w:rPr>
          <w:rFonts w:ascii="Arial" w:hAnsi="Arial" w:cs="Arial"/>
        </w:rPr>
        <w:t xml:space="preserve"> and</w:t>
      </w:r>
      <w:r w:rsidRPr="00D15817">
        <w:rPr>
          <w:rFonts w:ascii="Arial" w:hAnsi="Arial" w:cs="Arial"/>
        </w:rPr>
        <w:t xml:space="preserve"> forward the Commission’s recommendation to the Minister of Natural Resources and Forestry for approval pursuant to Section 10 (11) of the </w:t>
      </w:r>
      <w:r w:rsidRPr="00D15817">
        <w:rPr>
          <w:rFonts w:ascii="Arial" w:hAnsi="Arial" w:cs="Arial"/>
          <w:i/>
          <w:iCs/>
        </w:rPr>
        <w:t>Niagara Escarpment Planning and Development Act.</w:t>
      </w:r>
    </w:p>
    <w:p w14:paraId="632E02CD" w14:textId="485E36A3" w:rsidR="00D15817" w:rsidRDefault="00D15817" w:rsidP="00D15817">
      <w:pPr>
        <w:widowControl w:val="0"/>
        <w:tabs>
          <w:tab w:val="left" w:pos="-1368"/>
          <w:tab w:val="left" w:pos="-720"/>
          <w:tab w:val="left" w:pos="1152"/>
          <w:tab w:val="left" w:pos="2700"/>
        </w:tabs>
        <w:spacing w:after="0" w:line="120" w:lineRule="auto"/>
        <w:rPr>
          <w:rFonts w:ascii="Arial" w:eastAsia="Times New Roman" w:hAnsi="Arial" w:cs="Arial"/>
          <w:snapToGrid w:val="0"/>
          <w:color w:val="3366FF"/>
          <w:sz w:val="23"/>
          <w:szCs w:val="23"/>
        </w:rPr>
      </w:pPr>
    </w:p>
    <w:p w14:paraId="6162EE91" w14:textId="2B672B56" w:rsidR="00B75F07" w:rsidRDefault="00B75F07" w:rsidP="00D15817">
      <w:pPr>
        <w:widowControl w:val="0"/>
        <w:tabs>
          <w:tab w:val="left" w:pos="-1368"/>
          <w:tab w:val="left" w:pos="-720"/>
          <w:tab w:val="left" w:pos="1152"/>
          <w:tab w:val="left" w:pos="2700"/>
        </w:tabs>
        <w:spacing w:after="0" w:line="120" w:lineRule="auto"/>
        <w:rPr>
          <w:rFonts w:ascii="Arial" w:eastAsia="Times New Roman" w:hAnsi="Arial" w:cs="Arial"/>
          <w:snapToGrid w:val="0"/>
          <w:color w:val="3366FF"/>
          <w:sz w:val="23"/>
          <w:szCs w:val="23"/>
        </w:rPr>
      </w:pPr>
    </w:p>
    <w:p w14:paraId="0874A28F" w14:textId="7D8CECE3" w:rsidR="00B75F07" w:rsidRDefault="00B75F07" w:rsidP="00D15817">
      <w:pPr>
        <w:widowControl w:val="0"/>
        <w:tabs>
          <w:tab w:val="left" w:pos="-1368"/>
          <w:tab w:val="left" w:pos="-720"/>
          <w:tab w:val="left" w:pos="1152"/>
          <w:tab w:val="left" w:pos="2700"/>
        </w:tabs>
        <w:spacing w:after="0" w:line="120" w:lineRule="auto"/>
        <w:rPr>
          <w:rFonts w:ascii="Arial" w:eastAsia="Times New Roman" w:hAnsi="Arial" w:cs="Arial"/>
          <w:snapToGrid w:val="0"/>
          <w:color w:val="3366FF"/>
          <w:sz w:val="23"/>
          <w:szCs w:val="23"/>
        </w:rPr>
      </w:pPr>
    </w:p>
    <w:p w14:paraId="2268AF5C" w14:textId="77777777" w:rsidR="00B75F07" w:rsidRPr="00D15817" w:rsidRDefault="00B75F07" w:rsidP="00D15817">
      <w:pPr>
        <w:widowControl w:val="0"/>
        <w:tabs>
          <w:tab w:val="left" w:pos="-1368"/>
          <w:tab w:val="left" w:pos="-720"/>
          <w:tab w:val="left" w:pos="1152"/>
          <w:tab w:val="left" w:pos="2700"/>
        </w:tabs>
        <w:spacing w:after="0" w:line="120" w:lineRule="auto"/>
        <w:rPr>
          <w:rFonts w:ascii="Arial" w:eastAsia="Times New Roman" w:hAnsi="Arial" w:cs="Arial"/>
          <w:snapToGrid w:val="0"/>
          <w:color w:val="3366FF"/>
          <w:sz w:val="23"/>
          <w:szCs w:val="23"/>
        </w:rPr>
      </w:pPr>
    </w:p>
    <w:p w14:paraId="772E64CF" w14:textId="77777777" w:rsidR="00D15817" w:rsidRPr="00D15817" w:rsidRDefault="00D15817" w:rsidP="00D15817">
      <w:pPr>
        <w:widowControl w:val="0"/>
        <w:tabs>
          <w:tab w:val="left" w:pos="-1368"/>
          <w:tab w:val="left" w:pos="-720"/>
          <w:tab w:val="left" w:pos="1152"/>
          <w:tab w:val="left" w:pos="2160"/>
          <w:tab w:val="left" w:pos="3060"/>
        </w:tabs>
        <w:spacing w:after="0" w:line="240" w:lineRule="auto"/>
        <w:outlineLvl w:val="1"/>
        <w:rPr>
          <w:rFonts w:ascii="Arial" w:eastAsia="Times New Roman" w:hAnsi="Arial" w:cs="Tahoma"/>
          <w:b/>
          <w:bCs/>
          <w:snapToGrid w:val="0"/>
          <w:szCs w:val="20"/>
        </w:rPr>
      </w:pPr>
      <w:r w:rsidRPr="00D15817">
        <w:rPr>
          <w:rFonts w:ascii="Arial" w:eastAsia="Times New Roman" w:hAnsi="Arial" w:cs="Tahoma"/>
          <w:b/>
          <w:bCs/>
          <w:snapToGrid w:val="0"/>
          <w:szCs w:val="20"/>
        </w:rPr>
        <w:t>Attachments</w:t>
      </w:r>
    </w:p>
    <w:p w14:paraId="49DE6072" w14:textId="77777777" w:rsidR="00D15817" w:rsidRPr="00D15817" w:rsidRDefault="00D15817" w:rsidP="00D15817">
      <w:pPr>
        <w:spacing w:after="0"/>
      </w:pPr>
    </w:p>
    <w:p w14:paraId="5656233E" w14:textId="1E747758" w:rsidR="008F208C" w:rsidRDefault="00D15817" w:rsidP="00D15817">
      <w:pPr>
        <w:widowControl w:val="0"/>
        <w:tabs>
          <w:tab w:val="left" w:pos="-1368"/>
          <w:tab w:val="left" w:pos="-720"/>
          <w:tab w:val="left" w:pos="1152"/>
          <w:tab w:val="left" w:pos="2700"/>
        </w:tabs>
        <w:spacing w:after="0" w:line="240" w:lineRule="auto"/>
        <w:ind w:left="1440" w:hanging="1440"/>
        <w:rPr>
          <w:rFonts w:ascii="Arial" w:eastAsia="Times New Roman" w:hAnsi="Arial" w:cs="Arial"/>
          <w:snapToGrid w:val="0"/>
          <w:szCs w:val="24"/>
          <w:lang w:val="fr-CA"/>
        </w:rPr>
      </w:pPr>
      <w:r w:rsidRPr="00D15817">
        <w:rPr>
          <w:rFonts w:ascii="Arial" w:eastAsia="Times New Roman" w:hAnsi="Arial" w:cs="Arial"/>
          <w:snapToGrid w:val="0"/>
          <w:szCs w:val="24"/>
          <w:lang w:val="fr-CA"/>
        </w:rPr>
        <w:t xml:space="preserve">Map 1 : </w:t>
      </w:r>
      <w:r w:rsidRPr="00D15817">
        <w:rPr>
          <w:rFonts w:ascii="Arial" w:eastAsia="Times New Roman" w:hAnsi="Arial" w:cs="Arial"/>
          <w:snapToGrid w:val="0"/>
          <w:szCs w:val="24"/>
          <w:lang w:val="fr-CA"/>
        </w:rPr>
        <w:tab/>
      </w:r>
      <w:r w:rsidRPr="00D15817">
        <w:rPr>
          <w:rFonts w:ascii="Arial" w:eastAsia="Times New Roman" w:hAnsi="Arial" w:cs="Arial"/>
          <w:snapToGrid w:val="0"/>
          <w:szCs w:val="24"/>
          <w:lang w:val="fr-CA"/>
        </w:rPr>
        <w:tab/>
      </w:r>
      <w:r w:rsidR="008F208C">
        <w:rPr>
          <w:rFonts w:ascii="Arial" w:eastAsia="Times New Roman" w:hAnsi="Arial" w:cs="Arial"/>
          <w:snapToGrid w:val="0"/>
          <w:szCs w:val="24"/>
          <w:lang w:val="fr-CA"/>
        </w:rPr>
        <w:t>Current NEP Land Use Designation</w:t>
      </w:r>
    </w:p>
    <w:p w14:paraId="7326CA01" w14:textId="6FE6C314" w:rsidR="00D15817" w:rsidRDefault="008F208C" w:rsidP="00D15817">
      <w:pPr>
        <w:widowControl w:val="0"/>
        <w:tabs>
          <w:tab w:val="left" w:pos="-1368"/>
          <w:tab w:val="left" w:pos="-720"/>
          <w:tab w:val="left" w:pos="1152"/>
          <w:tab w:val="left" w:pos="2700"/>
        </w:tabs>
        <w:spacing w:after="0" w:line="240" w:lineRule="auto"/>
        <w:ind w:left="1440" w:hanging="1440"/>
        <w:rPr>
          <w:rFonts w:ascii="Arial" w:eastAsia="Times New Roman" w:hAnsi="Arial" w:cs="Arial"/>
          <w:snapToGrid w:val="0"/>
          <w:szCs w:val="24"/>
          <w:lang w:val="fr-CA"/>
        </w:rPr>
      </w:pPr>
      <w:r>
        <w:rPr>
          <w:rFonts w:ascii="Arial" w:eastAsia="Times New Roman" w:hAnsi="Arial" w:cs="Arial"/>
          <w:snapToGrid w:val="0"/>
          <w:szCs w:val="24"/>
          <w:lang w:val="fr-CA"/>
        </w:rPr>
        <w:t>Map 2 :</w:t>
      </w:r>
      <w:r>
        <w:rPr>
          <w:rFonts w:ascii="Arial" w:eastAsia="Times New Roman" w:hAnsi="Arial" w:cs="Arial"/>
          <w:snapToGrid w:val="0"/>
          <w:szCs w:val="24"/>
          <w:lang w:val="fr-CA"/>
        </w:rPr>
        <w:tab/>
      </w:r>
      <w:r>
        <w:rPr>
          <w:rFonts w:ascii="Arial" w:eastAsia="Times New Roman" w:hAnsi="Arial" w:cs="Arial"/>
          <w:snapToGrid w:val="0"/>
          <w:szCs w:val="24"/>
          <w:lang w:val="fr-CA"/>
        </w:rPr>
        <w:tab/>
      </w:r>
      <w:r w:rsidR="00D15817" w:rsidRPr="00D15817">
        <w:rPr>
          <w:rFonts w:ascii="Arial" w:eastAsia="Times New Roman" w:hAnsi="Arial" w:cs="Arial"/>
          <w:snapToGrid w:val="0"/>
          <w:szCs w:val="24"/>
          <w:lang w:val="fr-CA"/>
        </w:rPr>
        <w:t>Natural Heritage Features</w:t>
      </w:r>
    </w:p>
    <w:p w14:paraId="258E4F91" w14:textId="58F7835F" w:rsidR="00D15817" w:rsidRPr="00D15817" w:rsidRDefault="00D15817" w:rsidP="00D15817">
      <w:pPr>
        <w:widowControl w:val="0"/>
        <w:tabs>
          <w:tab w:val="left" w:pos="-1368"/>
          <w:tab w:val="left" w:pos="-720"/>
          <w:tab w:val="left" w:pos="1152"/>
          <w:tab w:val="left" w:pos="2700"/>
        </w:tabs>
        <w:spacing w:after="0" w:line="240" w:lineRule="auto"/>
        <w:ind w:left="1440" w:hanging="1440"/>
        <w:rPr>
          <w:rFonts w:ascii="Arial" w:eastAsia="Times New Roman" w:hAnsi="Arial" w:cs="Arial"/>
          <w:snapToGrid w:val="0"/>
          <w:szCs w:val="24"/>
          <w:lang w:val="fr-CA"/>
        </w:rPr>
      </w:pPr>
      <w:r w:rsidRPr="00D15817">
        <w:rPr>
          <w:rFonts w:ascii="Arial" w:eastAsia="Times New Roman" w:hAnsi="Arial" w:cs="Arial"/>
          <w:snapToGrid w:val="0"/>
          <w:szCs w:val="24"/>
          <w:lang w:val="fr-CA"/>
        </w:rPr>
        <w:t>Appendix 1:</w:t>
      </w:r>
      <w:r w:rsidRPr="00D15817">
        <w:rPr>
          <w:rFonts w:ascii="Arial" w:eastAsia="Times New Roman" w:hAnsi="Arial" w:cs="Arial"/>
          <w:snapToGrid w:val="0"/>
          <w:szCs w:val="24"/>
          <w:lang w:val="fr-CA"/>
        </w:rPr>
        <w:tab/>
      </w:r>
      <w:r w:rsidR="008F208C">
        <w:rPr>
          <w:rFonts w:ascii="Arial" w:eastAsia="Times New Roman" w:hAnsi="Arial" w:cs="Arial"/>
          <w:snapToGrid w:val="0"/>
          <w:szCs w:val="24"/>
          <w:lang w:val="fr-CA"/>
        </w:rPr>
        <w:t xml:space="preserve">Final </w:t>
      </w:r>
      <w:r w:rsidRPr="00D15817">
        <w:rPr>
          <w:rFonts w:ascii="Arial" w:eastAsia="Times New Roman" w:hAnsi="Arial" w:cs="Arial"/>
          <w:snapToGrid w:val="0"/>
          <w:szCs w:val="24"/>
          <w:lang w:val="fr-CA"/>
        </w:rPr>
        <w:t xml:space="preserve">Plan Amendment Document (Schedule A) </w:t>
      </w:r>
    </w:p>
    <w:p w14:paraId="663FB84B" w14:textId="542369A7"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6D990F2C" w14:textId="23E7ED38" w:rsidR="0074238B" w:rsidRDefault="0074238B"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138435EB" w14:textId="77777777" w:rsidR="0074238B" w:rsidRPr="003A5BB2" w:rsidRDefault="0074238B"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2BEF9A63"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0D170D15" w14:textId="7B34F2EB"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b/>
          <w:snapToGrid w:val="0"/>
          <w:szCs w:val="24"/>
        </w:rPr>
      </w:pPr>
      <w:r w:rsidRPr="003A5BB2">
        <w:rPr>
          <w:rFonts w:ascii="Arial" w:eastAsia="Times New Roman" w:hAnsi="Arial" w:cs="Arial"/>
          <w:b/>
          <w:snapToGrid w:val="0"/>
          <w:szCs w:val="24"/>
        </w:rPr>
        <w:t>Prepared By:</w:t>
      </w:r>
      <w:r w:rsidRPr="003A5BB2">
        <w:rPr>
          <w:rFonts w:ascii="Arial" w:eastAsia="Times New Roman" w:hAnsi="Arial" w:cs="Arial"/>
          <w:b/>
          <w:snapToGrid w:val="0"/>
          <w:szCs w:val="24"/>
        </w:rPr>
        <w:tab/>
      </w:r>
      <w:r w:rsidRPr="003A5BB2">
        <w:rPr>
          <w:rFonts w:ascii="Arial" w:eastAsia="Times New Roman" w:hAnsi="Arial" w:cs="Arial"/>
          <w:snapToGrid w:val="0"/>
          <w:szCs w:val="24"/>
        </w:rPr>
        <w:tab/>
      </w:r>
      <w:r w:rsidRPr="003A5BB2">
        <w:rPr>
          <w:rFonts w:ascii="Arial" w:eastAsia="Times New Roman" w:hAnsi="Arial" w:cs="Arial"/>
          <w:snapToGrid w:val="0"/>
          <w:szCs w:val="24"/>
        </w:rPr>
        <w:tab/>
      </w:r>
      <w:r w:rsidRPr="003A5BB2">
        <w:rPr>
          <w:rFonts w:ascii="Arial" w:eastAsia="Times New Roman" w:hAnsi="Arial" w:cs="Arial"/>
          <w:snapToGrid w:val="0"/>
          <w:szCs w:val="24"/>
        </w:rPr>
        <w:tab/>
      </w:r>
      <w:r w:rsidR="00E20AC6">
        <w:rPr>
          <w:rFonts w:ascii="Arial" w:eastAsia="Times New Roman" w:hAnsi="Arial" w:cs="Arial"/>
          <w:snapToGrid w:val="0"/>
          <w:szCs w:val="24"/>
        </w:rPr>
        <w:tab/>
      </w:r>
      <w:r w:rsidR="00E20AC6">
        <w:rPr>
          <w:rFonts w:ascii="Arial" w:eastAsia="Times New Roman" w:hAnsi="Arial" w:cs="Arial"/>
          <w:snapToGrid w:val="0"/>
          <w:szCs w:val="24"/>
        </w:rPr>
        <w:tab/>
      </w:r>
      <w:r w:rsidRPr="003A5BB2">
        <w:rPr>
          <w:rFonts w:ascii="Arial" w:eastAsia="Times New Roman" w:hAnsi="Arial" w:cs="Arial"/>
          <w:b/>
          <w:snapToGrid w:val="0"/>
          <w:szCs w:val="24"/>
        </w:rPr>
        <w:t>Approved by:</w:t>
      </w:r>
    </w:p>
    <w:p w14:paraId="485D9088" w14:textId="77777777" w:rsidR="003A5BB2" w:rsidRP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487E8A32" w14:textId="69D8CE16" w:rsidR="003A5BB2" w:rsidRDefault="003A5BB2"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p>
    <w:p w14:paraId="3D671203" w14:textId="2CD3D724" w:rsidR="00662EAF" w:rsidRPr="003A5BB2" w:rsidRDefault="00E16B55" w:rsidP="003A5BB2">
      <w:pPr>
        <w:widowControl w:val="0"/>
        <w:tabs>
          <w:tab w:val="left" w:pos="-1368"/>
          <w:tab w:val="left" w:pos="-720"/>
          <w:tab w:val="left" w:pos="1152"/>
          <w:tab w:val="left" w:pos="2700"/>
        </w:tabs>
        <w:spacing w:after="0" w:line="240" w:lineRule="auto"/>
        <w:rPr>
          <w:rFonts w:ascii="Arial" w:eastAsia="Times New Roman" w:hAnsi="Arial" w:cs="Arial"/>
          <w:snapToGrid w:val="0"/>
          <w:szCs w:val="24"/>
        </w:rPr>
      </w:pPr>
      <w:r>
        <w:rPr>
          <w:rFonts w:ascii="Arial" w:eastAsia="Times New Roman" w:hAnsi="Arial" w:cs="Arial"/>
          <w:snapToGrid w:val="0"/>
          <w:szCs w:val="24"/>
        </w:rPr>
        <w:t>Original signed by:</w:t>
      </w:r>
      <w:r>
        <w:rPr>
          <w:rFonts w:ascii="Arial" w:eastAsia="Times New Roman" w:hAnsi="Arial" w:cs="Arial"/>
          <w:snapToGrid w:val="0"/>
          <w:szCs w:val="24"/>
        </w:rPr>
        <w:tab/>
      </w:r>
      <w:r>
        <w:rPr>
          <w:rFonts w:ascii="Arial" w:eastAsia="Times New Roman" w:hAnsi="Arial" w:cs="Arial"/>
          <w:snapToGrid w:val="0"/>
          <w:szCs w:val="24"/>
        </w:rPr>
        <w:tab/>
      </w:r>
      <w:r>
        <w:rPr>
          <w:rFonts w:ascii="Arial" w:eastAsia="Times New Roman" w:hAnsi="Arial" w:cs="Arial"/>
          <w:snapToGrid w:val="0"/>
          <w:szCs w:val="24"/>
        </w:rPr>
        <w:tab/>
      </w:r>
      <w:r>
        <w:rPr>
          <w:rFonts w:ascii="Arial" w:eastAsia="Times New Roman" w:hAnsi="Arial" w:cs="Arial"/>
          <w:snapToGrid w:val="0"/>
          <w:szCs w:val="24"/>
        </w:rPr>
        <w:tab/>
      </w:r>
      <w:r>
        <w:rPr>
          <w:rFonts w:ascii="Arial" w:eastAsia="Times New Roman" w:hAnsi="Arial" w:cs="Arial"/>
          <w:snapToGrid w:val="0"/>
          <w:szCs w:val="24"/>
        </w:rPr>
        <w:tab/>
      </w:r>
      <w:r>
        <w:rPr>
          <w:rFonts w:ascii="Arial" w:eastAsia="Times New Roman" w:hAnsi="Arial" w:cs="Arial"/>
          <w:snapToGrid w:val="0"/>
          <w:szCs w:val="24"/>
        </w:rPr>
        <w:tab/>
        <w:t>Original signed by:</w:t>
      </w:r>
    </w:p>
    <w:p w14:paraId="55BF6059" w14:textId="6FC81D50" w:rsidR="007E2053" w:rsidRPr="00000A4D" w:rsidRDefault="007E2053" w:rsidP="007E2053">
      <w:pPr>
        <w:pStyle w:val="BodyText"/>
        <w:rPr>
          <w:i/>
          <w:szCs w:val="24"/>
        </w:rPr>
      </w:pPr>
      <w:r w:rsidRPr="00000A4D">
        <w:rPr>
          <w:rFonts w:cs="Arial"/>
          <w:szCs w:val="24"/>
          <w:u w:val="single"/>
        </w:rPr>
        <w:tab/>
      </w:r>
      <w:r w:rsidRPr="00000A4D">
        <w:rPr>
          <w:rFonts w:cs="Arial"/>
          <w:szCs w:val="24"/>
          <w:u w:val="single"/>
        </w:rPr>
        <w:tab/>
      </w:r>
      <w:r w:rsidRPr="00000A4D">
        <w:rPr>
          <w:rFonts w:cs="Arial"/>
          <w:szCs w:val="24"/>
          <w:u w:val="single"/>
        </w:rPr>
        <w:tab/>
      </w:r>
      <w:r w:rsidRPr="00000A4D">
        <w:rPr>
          <w:rFonts w:cs="Arial"/>
          <w:szCs w:val="24"/>
        </w:rPr>
        <w:tab/>
      </w:r>
      <w:r w:rsidRPr="00000A4D">
        <w:rPr>
          <w:rFonts w:cs="Arial"/>
          <w:szCs w:val="24"/>
        </w:rPr>
        <w:tab/>
      </w:r>
      <w:r w:rsidRPr="00000A4D">
        <w:rPr>
          <w:rFonts w:cs="Arial"/>
          <w:szCs w:val="24"/>
        </w:rPr>
        <w:tab/>
      </w:r>
      <w:r w:rsidRPr="00000A4D">
        <w:rPr>
          <w:rFonts w:cs="Arial"/>
          <w:szCs w:val="24"/>
        </w:rPr>
        <w:tab/>
        <w:t>_______________________</w:t>
      </w:r>
    </w:p>
    <w:p w14:paraId="29E023A7" w14:textId="7F760A11" w:rsidR="007E2053" w:rsidRPr="00000A4D" w:rsidRDefault="00454908" w:rsidP="007E2053">
      <w:pPr>
        <w:pStyle w:val="BodyText"/>
        <w:ind w:left="5760" w:hanging="5760"/>
        <w:rPr>
          <w:szCs w:val="24"/>
        </w:rPr>
      </w:pPr>
      <w:r w:rsidRPr="00000A4D">
        <w:rPr>
          <w:szCs w:val="24"/>
        </w:rPr>
        <w:t>Lisa Grbinicek</w:t>
      </w:r>
      <w:r w:rsidR="007E2053" w:rsidRPr="00000A4D">
        <w:rPr>
          <w:szCs w:val="24"/>
        </w:rPr>
        <w:t>, RPP, MCIP</w:t>
      </w:r>
      <w:r w:rsidR="007E2053" w:rsidRPr="00000A4D">
        <w:rPr>
          <w:szCs w:val="24"/>
        </w:rPr>
        <w:tab/>
      </w:r>
      <w:r w:rsidR="00662EAF" w:rsidRPr="00000A4D">
        <w:rPr>
          <w:szCs w:val="24"/>
        </w:rPr>
        <w:t>Kathy Woeller</w:t>
      </w:r>
      <w:r w:rsidR="00B75F07">
        <w:rPr>
          <w:szCs w:val="24"/>
        </w:rPr>
        <w:t>, Director</w:t>
      </w:r>
    </w:p>
    <w:p w14:paraId="5FABCE01" w14:textId="726C47DF" w:rsidR="00EF5AB8" w:rsidRDefault="007E2053" w:rsidP="00983BFD">
      <w:pPr>
        <w:pStyle w:val="BodyText"/>
        <w:ind w:left="5760" w:hanging="5760"/>
        <w:rPr>
          <w:rFonts w:cs="Arial"/>
          <w:szCs w:val="24"/>
        </w:rPr>
        <w:sectPr w:rsidR="00EF5AB8" w:rsidSect="00726084">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r w:rsidRPr="00000A4D">
        <w:rPr>
          <w:szCs w:val="24"/>
        </w:rPr>
        <w:t>Senior Strategic Advisor</w:t>
      </w:r>
      <w:r w:rsidR="00662EAF" w:rsidRPr="00000A4D">
        <w:rPr>
          <w:szCs w:val="24"/>
        </w:rPr>
        <w:tab/>
      </w:r>
    </w:p>
    <w:p w14:paraId="3F680883" w14:textId="5572AFCB" w:rsidR="003A5BB2" w:rsidRPr="003A5BB2" w:rsidRDefault="00EF5AB8" w:rsidP="00983BFD">
      <w:pPr>
        <w:tabs>
          <w:tab w:val="left" w:pos="2220"/>
        </w:tabs>
        <w:spacing w:after="0" w:line="240" w:lineRule="auto"/>
        <w:rPr>
          <w:rFonts w:ascii="Arial" w:eastAsia="Times New Roman" w:hAnsi="Arial" w:cs="Arial"/>
          <w:szCs w:val="24"/>
        </w:rPr>
      </w:pPr>
      <w:r w:rsidRPr="00EF5AB8">
        <w:rPr>
          <w:rFonts w:ascii="Arial" w:eastAsia="Times New Roman" w:hAnsi="Arial" w:cs="Arial"/>
          <w:noProof/>
          <w:szCs w:val="24"/>
        </w:rPr>
        <w:lastRenderedPageBreak/>
        <w:drawing>
          <wp:inline distT="0" distB="0" distL="0" distR="0" wp14:anchorId="2BCEE955" wp14:editId="001BE494">
            <wp:extent cx="6561416" cy="5007935"/>
            <wp:effectExtent l="0" t="0" r="0" b="2540"/>
            <wp:docPr id="5" name="Picture 5" descr="Amendment location and Niagara Escarpment Plan designa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mendment location and Niagara Escarpment Plan designation map"/>
                    <pic:cNvPicPr/>
                  </pic:nvPicPr>
                  <pic:blipFill>
                    <a:blip r:embed="rId17">
                      <a:extLst>
                        <a:ext uri="{28A0092B-C50C-407E-A947-70E740481C1C}">
                          <a14:useLocalDpi xmlns:a14="http://schemas.microsoft.com/office/drawing/2010/main" val="0"/>
                        </a:ext>
                      </a:extLst>
                    </a:blip>
                    <a:stretch>
                      <a:fillRect/>
                    </a:stretch>
                  </pic:blipFill>
                  <pic:spPr>
                    <a:xfrm>
                      <a:off x="0" y="0"/>
                      <a:ext cx="6586729" cy="5027255"/>
                    </a:xfrm>
                    <a:prstGeom prst="rect">
                      <a:avLst/>
                    </a:prstGeom>
                  </pic:spPr>
                </pic:pic>
              </a:graphicData>
            </a:graphic>
          </wp:inline>
        </w:drawing>
      </w:r>
    </w:p>
    <w:p w14:paraId="151B527F" w14:textId="77777777" w:rsidR="003A5BB2" w:rsidRPr="003A5BB2" w:rsidRDefault="003A5BB2" w:rsidP="003A5BB2">
      <w:pPr>
        <w:tabs>
          <w:tab w:val="left" w:pos="2220"/>
        </w:tabs>
        <w:spacing w:after="0" w:line="240" w:lineRule="auto"/>
        <w:rPr>
          <w:rFonts w:ascii="Arial" w:eastAsia="Times New Roman" w:hAnsi="Arial" w:cs="Arial"/>
          <w:szCs w:val="24"/>
        </w:rPr>
      </w:pPr>
    </w:p>
    <w:p w14:paraId="5438A1DC" w14:textId="77777777" w:rsidR="003A5BB2" w:rsidRPr="003A5BB2" w:rsidRDefault="003A5BB2" w:rsidP="003A5BB2">
      <w:pPr>
        <w:tabs>
          <w:tab w:val="left" w:pos="2220"/>
        </w:tabs>
        <w:spacing w:after="0" w:line="240" w:lineRule="auto"/>
        <w:rPr>
          <w:rFonts w:ascii="Arial" w:eastAsia="Times New Roman" w:hAnsi="Arial" w:cs="Arial"/>
          <w:szCs w:val="24"/>
        </w:rPr>
      </w:pPr>
    </w:p>
    <w:p w14:paraId="1BA658F4" w14:textId="77777777" w:rsidR="003A5BB2" w:rsidRPr="003A5BB2" w:rsidRDefault="003A5BB2" w:rsidP="003A5BB2">
      <w:pPr>
        <w:tabs>
          <w:tab w:val="left" w:pos="2220"/>
        </w:tabs>
        <w:spacing w:after="0" w:line="240" w:lineRule="auto"/>
        <w:rPr>
          <w:rFonts w:ascii="Arial" w:eastAsia="Times New Roman" w:hAnsi="Arial" w:cs="Arial"/>
          <w:szCs w:val="24"/>
        </w:rPr>
      </w:pPr>
    </w:p>
    <w:p w14:paraId="57AF4EEC" w14:textId="77777777" w:rsidR="003A5BB2" w:rsidRPr="003A5BB2" w:rsidRDefault="003A5BB2" w:rsidP="003A5BB2">
      <w:pPr>
        <w:spacing w:after="0" w:line="240" w:lineRule="auto"/>
        <w:rPr>
          <w:rFonts w:ascii="Arial" w:eastAsia="Times New Roman" w:hAnsi="Arial" w:cs="Arial"/>
          <w:szCs w:val="24"/>
        </w:rPr>
      </w:pPr>
    </w:p>
    <w:bookmarkEnd w:id="0"/>
    <w:p w14:paraId="0789E022" w14:textId="1F013051" w:rsidR="00EF5AB8" w:rsidRDefault="00EF5AB8">
      <w:pPr>
        <w:rPr>
          <w:rFonts w:ascii="Arial" w:eastAsia="Times New Roman" w:hAnsi="Arial" w:cs="Arial"/>
          <w:szCs w:val="24"/>
        </w:rPr>
      </w:pPr>
      <w:r>
        <w:rPr>
          <w:rFonts w:ascii="Arial" w:eastAsia="Times New Roman" w:hAnsi="Arial" w:cs="Arial"/>
          <w:szCs w:val="24"/>
        </w:rPr>
        <w:br w:type="page"/>
      </w:r>
    </w:p>
    <w:p w14:paraId="2F0B9CF1" w14:textId="26A1405F" w:rsidR="00EF5AB8" w:rsidRDefault="00FC4FDB">
      <w:pPr>
        <w:rPr>
          <w:rFonts w:ascii="Arial" w:eastAsia="Times New Roman" w:hAnsi="Arial" w:cs="Arial"/>
          <w:szCs w:val="24"/>
        </w:rPr>
        <w:sectPr w:rsidR="00EF5AB8" w:rsidSect="00726084">
          <w:headerReference w:type="first" r:id="rId18"/>
          <w:pgSz w:w="12240" w:h="15840" w:code="1"/>
          <w:pgMar w:top="1440" w:right="1440" w:bottom="1440" w:left="1440" w:header="709" w:footer="709" w:gutter="0"/>
          <w:cols w:space="708"/>
          <w:titlePg/>
          <w:docGrid w:linePitch="360"/>
        </w:sectPr>
      </w:pPr>
      <w:r w:rsidRPr="00FC4FDB">
        <w:rPr>
          <w:rFonts w:ascii="Arial" w:eastAsia="Times New Roman" w:hAnsi="Arial" w:cs="Arial"/>
          <w:noProof/>
          <w:szCs w:val="24"/>
        </w:rPr>
        <w:lastRenderedPageBreak/>
        <w:drawing>
          <wp:inline distT="0" distB="0" distL="0" distR="0" wp14:anchorId="5F7DB72C" wp14:editId="534E936E">
            <wp:extent cx="6578090" cy="5013021"/>
            <wp:effectExtent l="0" t="0" r="0" b="0"/>
            <wp:docPr id="10" name="Picture 10" descr="Subject property natural heritage features m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ubject property natural heritage features map "/>
                    <pic:cNvPicPr/>
                  </pic:nvPicPr>
                  <pic:blipFill>
                    <a:blip r:embed="rId19">
                      <a:extLst>
                        <a:ext uri="{28A0092B-C50C-407E-A947-70E740481C1C}">
                          <a14:useLocalDpi xmlns:a14="http://schemas.microsoft.com/office/drawing/2010/main" val="0"/>
                        </a:ext>
                      </a:extLst>
                    </a:blip>
                    <a:stretch>
                      <a:fillRect/>
                    </a:stretch>
                  </pic:blipFill>
                  <pic:spPr>
                    <a:xfrm>
                      <a:off x="0" y="0"/>
                      <a:ext cx="6616654" cy="5042410"/>
                    </a:xfrm>
                    <a:prstGeom prst="rect">
                      <a:avLst/>
                    </a:prstGeom>
                  </pic:spPr>
                </pic:pic>
              </a:graphicData>
            </a:graphic>
          </wp:inline>
        </w:drawing>
      </w:r>
      <w:r w:rsidR="00296BC7">
        <w:rPr>
          <w:rFonts w:ascii="Arial" w:eastAsia="Times New Roman" w:hAnsi="Arial" w:cs="Arial"/>
          <w:szCs w:val="24"/>
        </w:rPr>
        <w:t xml:space="preserve"> </w:t>
      </w:r>
      <w:r w:rsidR="00EF5AB8">
        <w:rPr>
          <w:rFonts w:ascii="Arial" w:eastAsia="Times New Roman" w:hAnsi="Arial" w:cs="Arial"/>
          <w:szCs w:val="24"/>
        </w:rPr>
        <w:br w:type="page"/>
      </w:r>
    </w:p>
    <w:p w14:paraId="6F21AE69" w14:textId="2EB41C1E" w:rsidR="00EF5AB8" w:rsidRPr="001D7C99" w:rsidRDefault="001D7C99">
      <w:pPr>
        <w:rPr>
          <w:rFonts w:ascii="Arial" w:eastAsia="Times New Roman" w:hAnsi="Arial" w:cs="Arial"/>
          <w:b/>
          <w:bCs/>
          <w:szCs w:val="24"/>
        </w:rPr>
      </w:pPr>
      <w:r>
        <w:rPr>
          <w:rFonts w:ascii="Arial" w:eastAsia="Times New Roman" w:hAnsi="Arial" w:cs="Arial"/>
          <w:szCs w:val="24"/>
        </w:rPr>
        <w:lastRenderedPageBreak/>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Pr>
          <w:rFonts w:ascii="Arial" w:eastAsia="Times New Roman" w:hAnsi="Arial" w:cs="Arial"/>
          <w:szCs w:val="24"/>
        </w:rPr>
        <w:tab/>
      </w:r>
      <w:r w:rsidRPr="001D7C99">
        <w:rPr>
          <w:rFonts w:ascii="Arial" w:eastAsia="Times New Roman" w:hAnsi="Arial" w:cs="Arial"/>
          <w:b/>
          <w:bCs/>
          <w:szCs w:val="24"/>
        </w:rPr>
        <w:t>APPENDIX 1</w:t>
      </w:r>
    </w:p>
    <w:p w14:paraId="74001C25" w14:textId="77777777" w:rsidR="00EF5AB8" w:rsidRDefault="00EF5AB8" w:rsidP="00EF5AB8">
      <w:pPr>
        <w:jc w:val="both"/>
        <w:rPr>
          <w:rFonts w:ascii="Arial" w:hAnsi="Arial" w:cs="Arial"/>
          <w:szCs w:val="24"/>
        </w:rPr>
      </w:pPr>
    </w:p>
    <w:p w14:paraId="4344A4D6" w14:textId="77777777" w:rsidR="00EF5AB8" w:rsidRDefault="00EF5AB8" w:rsidP="00EF5AB8">
      <w:pPr>
        <w:jc w:val="both"/>
        <w:rPr>
          <w:rFonts w:ascii="Arial" w:hAnsi="Arial" w:cs="Arial"/>
          <w:szCs w:val="24"/>
        </w:rPr>
      </w:pPr>
    </w:p>
    <w:p w14:paraId="3B748713" w14:textId="77777777" w:rsidR="00EF5AB8" w:rsidRDefault="00EF5AB8" w:rsidP="00EF5AB8">
      <w:pPr>
        <w:jc w:val="both"/>
        <w:rPr>
          <w:rFonts w:ascii="Arial" w:hAnsi="Arial" w:cs="Arial"/>
          <w:szCs w:val="24"/>
        </w:rPr>
      </w:pPr>
    </w:p>
    <w:p w14:paraId="006EBBDF" w14:textId="77777777" w:rsidR="00EF5AB8" w:rsidRDefault="00EF5AB8" w:rsidP="00EF5AB8">
      <w:pPr>
        <w:jc w:val="both"/>
        <w:rPr>
          <w:rFonts w:ascii="Arial" w:hAnsi="Arial" w:cs="Arial"/>
          <w:szCs w:val="24"/>
        </w:rPr>
      </w:pPr>
    </w:p>
    <w:p w14:paraId="332A16EE" w14:textId="77777777" w:rsidR="00EF5AB8" w:rsidRDefault="00EF5AB8" w:rsidP="00EF5AB8">
      <w:pPr>
        <w:jc w:val="center"/>
        <w:rPr>
          <w:rFonts w:ascii="Arial" w:hAnsi="Arial" w:cs="Arial"/>
          <w:b/>
          <w:sz w:val="28"/>
          <w:szCs w:val="28"/>
        </w:rPr>
      </w:pPr>
    </w:p>
    <w:p w14:paraId="70BE75C9" w14:textId="77777777" w:rsidR="00EF5AB8" w:rsidRDefault="00EF5AB8" w:rsidP="00EF5AB8">
      <w:pPr>
        <w:jc w:val="center"/>
        <w:rPr>
          <w:rFonts w:ascii="Arial" w:hAnsi="Arial" w:cs="Arial"/>
          <w:b/>
          <w:sz w:val="28"/>
          <w:szCs w:val="28"/>
        </w:rPr>
      </w:pPr>
    </w:p>
    <w:p w14:paraId="55B996BE" w14:textId="77777777" w:rsidR="00EF5AB8" w:rsidRPr="0089711E" w:rsidRDefault="00EF5AB8" w:rsidP="00EF5AB8">
      <w:pPr>
        <w:jc w:val="center"/>
        <w:rPr>
          <w:rFonts w:ascii="Arial" w:hAnsi="Arial" w:cs="Arial"/>
          <w:b/>
          <w:sz w:val="28"/>
          <w:szCs w:val="28"/>
        </w:rPr>
      </w:pPr>
      <w:r w:rsidRPr="0089711E">
        <w:rPr>
          <w:rFonts w:ascii="Arial" w:hAnsi="Arial" w:cs="Arial"/>
          <w:b/>
          <w:sz w:val="28"/>
          <w:szCs w:val="28"/>
        </w:rPr>
        <w:t xml:space="preserve">PROPOSED </w:t>
      </w:r>
      <w:smartTag w:uri="urn:schemas-microsoft-com:office:smarttags" w:element="place">
        <w:r w:rsidRPr="0089711E">
          <w:rPr>
            <w:rFonts w:ascii="Arial" w:hAnsi="Arial" w:cs="Arial"/>
            <w:b/>
            <w:sz w:val="28"/>
            <w:szCs w:val="28"/>
          </w:rPr>
          <w:t>NIAGARA</w:t>
        </w:r>
      </w:smartTag>
      <w:r w:rsidRPr="0089711E">
        <w:rPr>
          <w:rFonts w:ascii="Arial" w:hAnsi="Arial" w:cs="Arial"/>
          <w:b/>
          <w:sz w:val="28"/>
          <w:szCs w:val="28"/>
        </w:rPr>
        <w:t xml:space="preserve"> ESCARPMENT PLAN </w:t>
      </w:r>
    </w:p>
    <w:p w14:paraId="4BD8DCDA" w14:textId="77777777" w:rsidR="00EF5AB8" w:rsidRPr="0089711E" w:rsidRDefault="00EF5AB8" w:rsidP="00EF5AB8">
      <w:pPr>
        <w:jc w:val="center"/>
        <w:rPr>
          <w:rFonts w:ascii="Arial" w:hAnsi="Arial" w:cs="Arial"/>
          <w:b/>
          <w:sz w:val="28"/>
          <w:szCs w:val="28"/>
        </w:rPr>
      </w:pPr>
      <w:r w:rsidRPr="0089711E">
        <w:rPr>
          <w:rFonts w:ascii="Arial" w:hAnsi="Arial" w:cs="Arial"/>
          <w:b/>
          <w:sz w:val="28"/>
          <w:szCs w:val="28"/>
        </w:rPr>
        <w:t xml:space="preserve">AMENDMENT PH </w:t>
      </w:r>
      <w:r>
        <w:rPr>
          <w:rFonts w:ascii="Arial" w:hAnsi="Arial" w:cs="Arial"/>
          <w:b/>
          <w:sz w:val="28"/>
          <w:szCs w:val="28"/>
        </w:rPr>
        <w:t>221 21</w:t>
      </w:r>
    </w:p>
    <w:p w14:paraId="599D6B43" w14:textId="77777777" w:rsidR="00EF5AB8" w:rsidRPr="0089711E" w:rsidRDefault="00EF5AB8" w:rsidP="00EF5AB8">
      <w:pPr>
        <w:jc w:val="center"/>
        <w:rPr>
          <w:rFonts w:ascii="Arial" w:hAnsi="Arial" w:cs="Arial"/>
          <w:b/>
          <w:sz w:val="28"/>
          <w:szCs w:val="28"/>
        </w:rPr>
      </w:pPr>
    </w:p>
    <w:p w14:paraId="0728E1E7" w14:textId="77777777" w:rsidR="00EF5AB8" w:rsidRDefault="00EF5AB8" w:rsidP="00EF5AB8">
      <w:pPr>
        <w:jc w:val="center"/>
        <w:rPr>
          <w:rFonts w:ascii="Arial" w:hAnsi="Arial" w:cs="Arial"/>
          <w:b/>
          <w:sz w:val="28"/>
          <w:szCs w:val="28"/>
        </w:rPr>
      </w:pPr>
      <w:r>
        <w:rPr>
          <w:rFonts w:ascii="Arial" w:hAnsi="Arial" w:cs="Arial"/>
          <w:b/>
          <w:sz w:val="28"/>
          <w:szCs w:val="28"/>
        </w:rPr>
        <w:t>(Former Campbellville Sand and Gravel “South Pit”)</w:t>
      </w:r>
    </w:p>
    <w:p w14:paraId="466F185C" w14:textId="77777777" w:rsidR="00EF5AB8" w:rsidRDefault="00EF5AB8" w:rsidP="00EF5AB8">
      <w:pPr>
        <w:jc w:val="center"/>
        <w:rPr>
          <w:rFonts w:ascii="Arial" w:hAnsi="Arial" w:cs="Arial"/>
          <w:b/>
          <w:sz w:val="28"/>
          <w:szCs w:val="28"/>
        </w:rPr>
      </w:pPr>
    </w:p>
    <w:p w14:paraId="2F06592A" w14:textId="77777777" w:rsidR="00EF5AB8" w:rsidRDefault="00EF5AB8" w:rsidP="00EF5AB8">
      <w:pPr>
        <w:jc w:val="center"/>
        <w:rPr>
          <w:rFonts w:ascii="Arial" w:hAnsi="Arial" w:cs="Arial"/>
          <w:b/>
          <w:sz w:val="28"/>
          <w:szCs w:val="28"/>
        </w:rPr>
      </w:pPr>
    </w:p>
    <w:p w14:paraId="21976EA3" w14:textId="77777777" w:rsidR="00EF5AB8" w:rsidRDefault="00EF5AB8" w:rsidP="00EF5AB8">
      <w:pPr>
        <w:jc w:val="center"/>
        <w:rPr>
          <w:rFonts w:ascii="Arial" w:hAnsi="Arial" w:cs="Arial"/>
          <w:b/>
          <w:sz w:val="28"/>
          <w:szCs w:val="28"/>
        </w:rPr>
      </w:pPr>
    </w:p>
    <w:p w14:paraId="497C168A" w14:textId="77777777" w:rsidR="00EF5AB8" w:rsidRPr="0089711E" w:rsidRDefault="00EF5AB8" w:rsidP="00EF5AB8">
      <w:pPr>
        <w:jc w:val="center"/>
        <w:rPr>
          <w:rFonts w:ascii="Arial" w:hAnsi="Arial" w:cs="Arial"/>
          <w:b/>
          <w:sz w:val="28"/>
          <w:szCs w:val="28"/>
        </w:rPr>
      </w:pPr>
    </w:p>
    <w:p w14:paraId="3879963B" w14:textId="77777777" w:rsidR="00EF5AB8" w:rsidRPr="0089711E" w:rsidRDefault="00EF5AB8" w:rsidP="00EF5AB8">
      <w:pPr>
        <w:tabs>
          <w:tab w:val="left" w:pos="3960"/>
        </w:tabs>
        <w:jc w:val="center"/>
        <w:rPr>
          <w:rFonts w:ascii="Arial" w:hAnsi="Arial" w:cs="Arial"/>
          <w:b/>
          <w:sz w:val="28"/>
          <w:szCs w:val="28"/>
        </w:rPr>
      </w:pPr>
      <w:r>
        <w:rPr>
          <w:rFonts w:ascii="Arial" w:hAnsi="Arial" w:cs="Arial"/>
          <w:b/>
          <w:sz w:val="28"/>
          <w:szCs w:val="28"/>
        </w:rPr>
        <w:t>November 17, 2022</w:t>
      </w:r>
    </w:p>
    <w:p w14:paraId="2B853711" w14:textId="77777777" w:rsidR="00EF5AB8" w:rsidRPr="008F1D8C" w:rsidRDefault="00EF5AB8" w:rsidP="00EF5AB8">
      <w:pPr>
        <w:jc w:val="center"/>
        <w:rPr>
          <w:rFonts w:ascii="Arial" w:hAnsi="Arial" w:cs="Arial"/>
          <w:b/>
        </w:rPr>
      </w:pPr>
    </w:p>
    <w:p w14:paraId="309E54A7" w14:textId="77777777" w:rsidR="00EF5AB8" w:rsidRDefault="00EF5AB8" w:rsidP="00EF5AB8">
      <w:pPr>
        <w:jc w:val="both"/>
        <w:rPr>
          <w:rFonts w:ascii="Arial" w:hAnsi="Arial" w:cs="Arial"/>
          <w:szCs w:val="24"/>
        </w:rPr>
      </w:pPr>
    </w:p>
    <w:p w14:paraId="45225D77" w14:textId="77777777" w:rsidR="00EF5AB8" w:rsidRDefault="00EF5AB8" w:rsidP="00EF5AB8">
      <w:pPr>
        <w:jc w:val="both"/>
        <w:rPr>
          <w:rFonts w:ascii="Arial" w:hAnsi="Arial" w:cs="Arial"/>
          <w:szCs w:val="24"/>
        </w:rPr>
      </w:pPr>
    </w:p>
    <w:p w14:paraId="52686D0E" w14:textId="77777777" w:rsidR="00EF5AB8" w:rsidRDefault="00EF5AB8" w:rsidP="00EF5AB8">
      <w:pPr>
        <w:jc w:val="both"/>
        <w:rPr>
          <w:rFonts w:ascii="Arial" w:hAnsi="Arial" w:cs="Arial"/>
          <w:szCs w:val="24"/>
        </w:rPr>
      </w:pPr>
    </w:p>
    <w:p w14:paraId="0B2C8F3A" w14:textId="77777777" w:rsidR="00EF5AB8" w:rsidRDefault="00EF5AB8" w:rsidP="00EF5AB8">
      <w:pPr>
        <w:jc w:val="both"/>
        <w:rPr>
          <w:rFonts w:ascii="Arial" w:hAnsi="Arial" w:cs="Arial"/>
          <w:szCs w:val="24"/>
        </w:rPr>
      </w:pPr>
    </w:p>
    <w:p w14:paraId="477F4F14" w14:textId="77777777" w:rsidR="00EF5AB8" w:rsidRDefault="00EF5AB8" w:rsidP="00EF5AB8">
      <w:pPr>
        <w:jc w:val="both"/>
        <w:rPr>
          <w:rFonts w:ascii="Arial" w:hAnsi="Arial" w:cs="Arial"/>
          <w:szCs w:val="24"/>
        </w:rPr>
      </w:pPr>
    </w:p>
    <w:p w14:paraId="7A099624" w14:textId="77777777" w:rsidR="00EF5AB8" w:rsidRDefault="00EF5AB8" w:rsidP="00EF5AB8">
      <w:pPr>
        <w:jc w:val="both"/>
        <w:rPr>
          <w:rFonts w:ascii="Arial" w:hAnsi="Arial" w:cs="Arial"/>
          <w:szCs w:val="24"/>
        </w:rPr>
      </w:pPr>
    </w:p>
    <w:p w14:paraId="5CD1E826" w14:textId="05F044AC" w:rsidR="00EF5AB8" w:rsidRDefault="00EF5AB8" w:rsidP="00EF5AB8">
      <w:pPr>
        <w:jc w:val="both"/>
        <w:rPr>
          <w:rFonts w:ascii="Arial" w:hAnsi="Arial" w:cs="Arial"/>
          <w:szCs w:val="24"/>
        </w:rPr>
      </w:pPr>
    </w:p>
    <w:p w14:paraId="26050B4D" w14:textId="77777777" w:rsidR="00EF5AB8" w:rsidRPr="001676C4" w:rsidRDefault="00EF5AB8" w:rsidP="00EF5AB8">
      <w:pPr>
        <w:pStyle w:val="Heading2"/>
      </w:pPr>
      <w:r w:rsidRPr="001676C4">
        <w:lastRenderedPageBreak/>
        <w:t>TABLE OF CONTENTS</w:t>
      </w:r>
    </w:p>
    <w:p w14:paraId="2A8F4956" w14:textId="77777777" w:rsidR="00EF5AB8" w:rsidRPr="008F1D8C" w:rsidRDefault="00EF5AB8" w:rsidP="00EF5AB8">
      <w:pPr>
        <w:rPr>
          <w:rFonts w:ascii="Arial" w:hAnsi="Arial" w:cs="Arial"/>
          <w:b/>
        </w:rPr>
      </w:pPr>
    </w:p>
    <w:p w14:paraId="55FD4334" w14:textId="77777777" w:rsidR="00EF5AB8" w:rsidRPr="008F1D8C" w:rsidRDefault="00EF5AB8" w:rsidP="00EF5AB8">
      <w:pPr>
        <w:rPr>
          <w:rFonts w:ascii="Arial" w:hAnsi="Arial" w:cs="Arial"/>
        </w:rPr>
      </w:pPr>
      <w:r w:rsidRPr="008F1D8C">
        <w:rPr>
          <w:rFonts w:ascii="Arial" w:hAnsi="Arial" w:cs="Arial"/>
          <w:b/>
        </w:rPr>
        <w:t xml:space="preserve">PART A – </w:t>
      </w:r>
      <w:r w:rsidRPr="008F1D8C">
        <w:rPr>
          <w:rFonts w:ascii="Arial" w:hAnsi="Arial" w:cs="Arial"/>
        </w:rPr>
        <w:t>The Preamble</w:t>
      </w:r>
    </w:p>
    <w:p w14:paraId="70080F5C" w14:textId="77777777" w:rsidR="00EF5AB8" w:rsidRPr="008F1D8C" w:rsidRDefault="00EF5AB8" w:rsidP="00EF5AB8">
      <w:pPr>
        <w:rPr>
          <w:rFonts w:ascii="Arial" w:hAnsi="Arial" w:cs="Arial"/>
        </w:rPr>
      </w:pPr>
      <w:r w:rsidRPr="008F1D8C">
        <w:rPr>
          <w:rFonts w:ascii="Arial" w:hAnsi="Arial" w:cs="Arial"/>
          <w:b/>
        </w:rPr>
        <w:t xml:space="preserve">PART B – </w:t>
      </w:r>
      <w:r w:rsidRPr="008F1D8C">
        <w:rPr>
          <w:rFonts w:ascii="Arial" w:hAnsi="Arial" w:cs="Arial"/>
        </w:rPr>
        <w:t>The Amendment</w:t>
      </w:r>
    </w:p>
    <w:p w14:paraId="004224BA" w14:textId="77777777" w:rsidR="00EF5AB8" w:rsidRPr="008F1D8C" w:rsidRDefault="00EF5AB8" w:rsidP="00EF5AB8">
      <w:pPr>
        <w:rPr>
          <w:rFonts w:ascii="Arial" w:hAnsi="Arial" w:cs="Arial"/>
        </w:rPr>
      </w:pPr>
      <w:r w:rsidRPr="008F1D8C">
        <w:rPr>
          <w:rFonts w:ascii="Arial" w:hAnsi="Arial" w:cs="Arial"/>
          <w:b/>
        </w:rPr>
        <w:t xml:space="preserve">PART C – </w:t>
      </w:r>
      <w:r w:rsidRPr="008F1D8C">
        <w:rPr>
          <w:rFonts w:ascii="Arial" w:hAnsi="Arial" w:cs="Arial"/>
        </w:rPr>
        <w:t>Schedule “A”</w:t>
      </w:r>
    </w:p>
    <w:p w14:paraId="0487A10E" w14:textId="77777777" w:rsidR="00EF5AB8" w:rsidRPr="008F1D8C" w:rsidRDefault="00EF5AB8" w:rsidP="00EF5AB8">
      <w:pPr>
        <w:rPr>
          <w:rFonts w:ascii="Arial" w:hAnsi="Arial" w:cs="Arial"/>
          <w:b/>
        </w:rPr>
      </w:pPr>
    </w:p>
    <w:p w14:paraId="623A5361" w14:textId="77777777" w:rsidR="00EF5AB8" w:rsidRPr="008F1D8C" w:rsidRDefault="00EF5AB8" w:rsidP="00EF5AB8">
      <w:pPr>
        <w:rPr>
          <w:rFonts w:ascii="Arial" w:hAnsi="Arial" w:cs="Arial"/>
          <w:b/>
        </w:rPr>
      </w:pPr>
    </w:p>
    <w:p w14:paraId="729D8869" w14:textId="77777777" w:rsidR="00EF5AB8" w:rsidRPr="008F1D8C" w:rsidRDefault="00EF5AB8" w:rsidP="00EF5AB8">
      <w:pPr>
        <w:rPr>
          <w:rFonts w:ascii="Arial" w:hAnsi="Arial" w:cs="Arial"/>
          <w:b/>
        </w:rPr>
      </w:pPr>
    </w:p>
    <w:p w14:paraId="20872BD8" w14:textId="77777777" w:rsidR="00EF5AB8" w:rsidRPr="008F1D8C" w:rsidRDefault="00EF5AB8" w:rsidP="00EF5AB8">
      <w:pPr>
        <w:rPr>
          <w:rFonts w:ascii="Arial" w:hAnsi="Arial" w:cs="Arial"/>
          <w:b/>
        </w:rPr>
      </w:pPr>
    </w:p>
    <w:p w14:paraId="7CA9AF25" w14:textId="77777777" w:rsidR="00EF5AB8" w:rsidRPr="008F1D8C" w:rsidRDefault="00EF5AB8" w:rsidP="00EF5AB8">
      <w:pPr>
        <w:rPr>
          <w:rFonts w:ascii="Arial" w:hAnsi="Arial" w:cs="Arial"/>
          <w:b/>
        </w:rPr>
      </w:pPr>
    </w:p>
    <w:p w14:paraId="14B108B1" w14:textId="77777777" w:rsidR="00EF5AB8" w:rsidRPr="008F1D8C" w:rsidRDefault="00EF5AB8" w:rsidP="00EF5AB8">
      <w:pPr>
        <w:rPr>
          <w:rFonts w:ascii="Arial" w:hAnsi="Arial" w:cs="Arial"/>
          <w:b/>
        </w:rPr>
      </w:pPr>
    </w:p>
    <w:p w14:paraId="66A737A7" w14:textId="77777777" w:rsidR="00EF5AB8" w:rsidRPr="008F1D8C" w:rsidRDefault="00EF5AB8" w:rsidP="00EF5AB8">
      <w:pPr>
        <w:rPr>
          <w:rFonts w:ascii="Arial" w:hAnsi="Arial" w:cs="Arial"/>
          <w:b/>
        </w:rPr>
      </w:pPr>
    </w:p>
    <w:p w14:paraId="380EFB34" w14:textId="77777777" w:rsidR="00EF5AB8" w:rsidRPr="008F1D8C" w:rsidRDefault="00EF5AB8" w:rsidP="00EF5AB8">
      <w:pPr>
        <w:rPr>
          <w:rFonts w:ascii="Arial" w:hAnsi="Arial" w:cs="Arial"/>
          <w:b/>
        </w:rPr>
      </w:pPr>
    </w:p>
    <w:p w14:paraId="31C7C532" w14:textId="77777777" w:rsidR="00EF5AB8" w:rsidRPr="008F1D8C" w:rsidRDefault="00EF5AB8" w:rsidP="00EF5AB8">
      <w:pPr>
        <w:rPr>
          <w:rFonts w:ascii="Arial" w:hAnsi="Arial" w:cs="Arial"/>
          <w:b/>
        </w:rPr>
      </w:pPr>
    </w:p>
    <w:p w14:paraId="57E4D7B2" w14:textId="77777777" w:rsidR="00EF5AB8" w:rsidRPr="008F1D8C" w:rsidRDefault="00EF5AB8" w:rsidP="00EF5AB8">
      <w:pPr>
        <w:rPr>
          <w:rFonts w:ascii="Arial" w:hAnsi="Arial" w:cs="Arial"/>
          <w:b/>
        </w:rPr>
      </w:pPr>
    </w:p>
    <w:p w14:paraId="01339AEA" w14:textId="77777777" w:rsidR="00EF5AB8" w:rsidRPr="008F1D8C" w:rsidRDefault="00EF5AB8" w:rsidP="00EF5AB8">
      <w:pPr>
        <w:rPr>
          <w:rFonts w:ascii="Arial" w:hAnsi="Arial" w:cs="Arial"/>
          <w:b/>
        </w:rPr>
      </w:pPr>
    </w:p>
    <w:p w14:paraId="33CAAEEB" w14:textId="77777777" w:rsidR="00EF5AB8" w:rsidRDefault="00EF5AB8" w:rsidP="00EF5AB8">
      <w:pPr>
        <w:rPr>
          <w:rFonts w:ascii="Arial" w:hAnsi="Arial" w:cs="Arial"/>
          <w:b/>
        </w:rPr>
      </w:pPr>
    </w:p>
    <w:p w14:paraId="01A531C9" w14:textId="77777777" w:rsidR="00EF5AB8" w:rsidRDefault="00EF5AB8" w:rsidP="00EF5AB8">
      <w:pPr>
        <w:rPr>
          <w:rFonts w:ascii="Arial" w:hAnsi="Arial" w:cs="Arial"/>
          <w:b/>
        </w:rPr>
      </w:pPr>
    </w:p>
    <w:p w14:paraId="3973A4C7" w14:textId="77777777" w:rsidR="00EF5AB8" w:rsidRDefault="00EF5AB8" w:rsidP="00EF5AB8">
      <w:pPr>
        <w:rPr>
          <w:rFonts w:ascii="Arial" w:hAnsi="Arial" w:cs="Arial"/>
          <w:b/>
        </w:rPr>
      </w:pPr>
    </w:p>
    <w:p w14:paraId="248543B2" w14:textId="77777777" w:rsidR="00EF5AB8" w:rsidRDefault="00EF5AB8" w:rsidP="00EF5AB8">
      <w:pPr>
        <w:rPr>
          <w:rFonts w:ascii="Arial" w:hAnsi="Arial" w:cs="Arial"/>
          <w:b/>
        </w:rPr>
      </w:pPr>
    </w:p>
    <w:p w14:paraId="2782BF62" w14:textId="77777777" w:rsidR="00EF5AB8" w:rsidRPr="008F1D8C" w:rsidRDefault="00EF5AB8" w:rsidP="00EF5AB8">
      <w:pPr>
        <w:rPr>
          <w:rFonts w:ascii="Arial" w:hAnsi="Arial" w:cs="Arial"/>
          <w:b/>
        </w:rPr>
      </w:pPr>
    </w:p>
    <w:p w14:paraId="5DF4E386" w14:textId="77777777" w:rsidR="00EF5AB8" w:rsidRPr="008F1D8C" w:rsidRDefault="00EF5AB8" w:rsidP="00EF5AB8">
      <w:pPr>
        <w:rPr>
          <w:rFonts w:ascii="Arial" w:hAnsi="Arial" w:cs="Arial"/>
          <w:b/>
        </w:rPr>
      </w:pPr>
    </w:p>
    <w:p w14:paraId="16C96C1E" w14:textId="77777777" w:rsidR="00EF5AB8" w:rsidRPr="008F1D8C" w:rsidRDefault="00EF5AB8" w:rsidP="00EF5AB8">
      <w:pPr>
        <w:rPr>
          <w:rFonts w:ascii="Arial" w:hAnsi="Arial" w:cs="Arial"/>
          <w:b/>
        </w:rPr>
      </w:pPr>
    </w:p>
    <w:p w14:paraId="4845659B" w14:textId="77777777" w:rsidR="00EF5AB8" w:rsidRDefault="00EF5AB8" w:rsidP="00EF5AB8">
      <w:pPr>
        <w:rPr>
          <w:rFonts w:ascii="Arial" w:hAnsi="Arial" w:cs="Arial"/>
          <w:b/>
        </w:rPr>
      </w:pPr>
    </w:p>
    <w:p w14:paraId="2957D9AE" w14:textId="77777777" w:rsidR="00EF5AB8" w:rsidRPr="008F1D8C" w:rsidRDefault="00EF5AB8" w:rsidP="00EF5AB8">
      <w:pPr>
        <w:rPr>
          <w:rFonts w:ascii="Arial" w:hAnsi="Arial" w:cs="Arial"/>
          <w:b/>
        </w:rPr>
      </w:pPr>
    </w:p>
    <w:p w14:paraId="2A46B10B" w14:textId="77777777" w:rsidR="00EF5AB8" w:rsidRPr="00880B7A" w:rsidRDefault="00EF5AB8" w:rsidP="00EF5AB8">
      <w:pPr>
        <w:pStyle w:val="Heading2"/>
        <w:rPr>
          <w:sz w:val="28"/>
          <w:szCs w:val="28"/>
        </w:rPr>
      </w:pPr>
      <w:r w:rsidRPr="00880B7A">
        <w:rPr>
          <w:sz w:val="28"/>
          <w:szCs w:val="28"/>
        </w:rPr>
        <w:lastRenderedPageBreak/>
        <w:t>Part A – The Preamble</w:t>
      </w:r>
    </w:p>
    <w:p w14:paraId="06F786E0" w14:textId="77777777" w:rsidR="001D7C99" w:rsidRDefault="001D7C99" w:rsidP="00EF5AB8">
      <w:pPr>
        <w:pStyle w:val="Heading2"/>
      </w:pPr>
    </w:p>
    <w:p w14:paraId="7502BBC0" w14:textId="4CFC528B" w:rsidR="00EF5AB8" w:rsidRPr="00B3628B" w:rsidRDefault="00EF5AB8" w:rsidP="00EF5AB8">
      <w:pPr>
        <w:pStyle w:val="Heading2"/>
      </w:pPr>
      <w:r w:rsidRPr="00B3628B">
        <w:t>PURPOSE:</w:t>
      </w:r>
    </w:p>
    <w:p w14:paraId="04E99CE7" w14:textId="77777777" w:rsidR="00EF5AB8" w:rsidRPr="008F1D8C" w:rsidRDefault="00EF5AB8" w:rsidP="00EF5AB8">
      <w:pPr>
        <w:spacing w:after="0" w:line="240" w:lineRule="auto"/>
        <w:rPr>
          <w:rFonts w:ascii="Arial" w:hAnsi="Arial" w:cs="Arial"/>
          <w:b/>
        </w:rPr>
      </w:pPr>
    </w:p>
    <w:p w14:paraId="11350FFB" w14:textId="77777777" w:rsidR="00EF5AB8" w:rsidRPr="008F1D8C" w:rsidRDefault="00EF5AB8" w:rsidP="00EF5AB8">
      <w:pPr>
        <w:rPr>
          <w:rFonts w:ascii="Arial" w:hAnsi="Arial" w:cs="Arial"/>
        </w:rPr>
      </w:pPr>
      <w:r>
        <w:rPr>
          <w:rFonts w:ascii="Arial" w:hAnsi="Arial" w:cs="Arial"/>
        </w:rPr>
        <w:t>The purpose of the proposed amendment affecting the lands identified on Schedule A, attached hereto, is t</w:t>
      </w:r>
      <w:r w:rsidRPr="008F1D8C">
        <w:rPr>
          <w:rFonts w:ascii="Arial" w:hAnsi="Arial" w:cs="Arial"/>
        </w:rPr>
        <w:t xml:space="preserve">o amend the Niagara Escarpment Plan (NEP) to </w:t>
      </w:r>
      <w:r>
        <w:rPr>
          <w:rFonts w:ascii="Arial" w:hAnsi="Arial" w:cs="Arial"/>
        </w:rPr>
        <w:t>re-</w:t>
      </w:r>
      <w:r w:rsidRPr="008F1D8C">
        <w:rPr>
          <w:rFonts w:ascii="Arial" w:hAnsi="Arial" w:cs="Arial"/>
        </w:rPr>
        <w:t xml:space="preserve">designate </w:t>
      </w:r>
      <w:r>
        <w:rPr>
          <w:rFonts w:ascii="Arial" w:hAnsi="Arial" w:cs="Arial"/>
        </w:rPr>
        <w:t xml:space="preserve">the subject </w:t>
      </w:r>
      <w:r w:rsidRPr="008F1D8C">
        <w:rPr>
          <w:rFonts w:ascii="Arial" w:hAnsi="Arial" w:cs="Arial"/>
        </w:rPr>
        <w:t>lands</w:t>
      </w:r>
      <w:r>
        <w:rPr>
          <w:rFonts w:ascii="Arial" w:hAnsi="Arial" w:cs="Arial"/>
        </w:rPr>
        <w:t xml:space="preserve"> (formerly the Campbellville Sand and Gravel South Pit), from Mineral Resource Extraction Area to Escarpment Natural Area and Escarpment Protection Area, to reflect the surrender of the </w:t>
      </w:r>
      <w:r w:rsidRPr="000B73FC">
        <w:rPr>
          <w:rFonts w:ascii="Arial" w:hAnsi="Arial" w:cs="Arial"/>
          <w:i/>
        </w:rPr>
        <w:t>Aggregate Resources Act</w:t>
      </w:r>
      <w:r>
        <w:rPr>
          <w:rFonts w:ascii="Arial" w:hAnsi="Arial" w:cs="Arial"/>
        </w:rPr>
        <w:t xml:space="preserve"> (ARA) licence. </w:t>
      </w:r>
    </w:p>
    <w:p w14:paraId="3BB2BD4B" w14:textId="77777777" w:rsidR="00EF5AB8" w:rsidRPr="00B3628B" w:rsidRDefault="00EF5AB8" w:rsidP="00EF5AB8">
      <w:pPr>
        <w:pStyle w:val="Heading2"/>
      </w:pPr>
      <w:r w:rsidRPr="00B3628B">
        <w:t>AREA:</w:t>
      </w:r>
    </w:p>
    <w:p w14:paraId="5314A70F" w14:textId="77777777" w:rsidR="00EF5AB8" w:rsidRPr="00BD2E3D" w:rsidRDefault="00EF5AB8" w:rsidP="00EF5AB8">
      <w:pPr>
        <w:spacing w:after="0" w:line="240" w:lineRule="auto"/>
      </w:pPr>
    </w:p>
    <w:p w14:paraId="5A59C8DC" w14:textId="77777777" w:rsidR="00EF5AB8" w:rsidRDefault="00EF5AB8" w:rsidP="00EF5AB8">
      <w:pPr>
        <w:rPr>
          <w:rFonts w:ascii="Arial" w:hAnsi="Arial" w:cs="Arial"/>
        </w:rPr>
      </w:pPr>
      <w:r w:rsidRPr="008F1D8C">
        <w:rPr>
          <w:rFonts w:ascii="Arial" w:hAnsi="Arial" w:cs="Arial"/>
        </w:rPr>
        <w:t xml:space="preserve">The lands subject to the proposed Plan </w:t>
      </w:r>
      <w:r>
        <w:rPr>
          <w:rFonts w:ascii="Arial" w:hAnsi="Arial" w:cs="Arial"/>
        </w:rPr>
        <w:t>a</w:t>
      </w:r>
      <w:r w:rsidRPr="008F1D8C">
        <w:rPr>
          <w:rFonts w:ascii="Arial" w:hAnsi="Arial" w:cs="Arial"/>
        </w:rPr>
        <w:t xml:space="preserve">mendment </w:t>
      </w:r>
      <w:r>
        <w:rPr>
          <w:rFonts w:ascii="Arial" w:hAnsi="Arial" w:cs="Arial"/>
        </w:rPr>
        <w:t>consist of an area of approximately 17.8 ha (44 ac).</w:t>
      </w:r>
    </w:p>
    <w:p w14:paraId="417B74AA" w14:textId="77777777" w:rsidR="00EF5AB8" w:rsidRPr="00B3628B" w:rsidRDefault="00EF5AB8" w:rsidP="00EF5AB8">
      <w:pPr>
        <w:pStyle w:val="Heading2"/>
      </w:pPr>
      <w:r w:rsidRPr="00B3628B">
        <w:t>LOCATION:</w:t>
      </w:r>
    </w:p>
    <w:p w14:paraId="097FC531" w14:textId="77777777" w:rsidR="001D7C99" w:rsidRDefault="001D7C99" w:rsidP="00EF5AB8">
      <w:pPr>
        <w:pStyle w:val="Heading2"/>
        <w:rPr>
          <w:b w:val="0"/>
        </w:rPr>
      </w:pPr>
    </w:p>
    <w:p w14:paraId="3837884F" w14:textId="60FDF3D3" w:rsidR="00EF5AB8" w:rsidRPr="00C44422" w:rsidRDefault="00EF5AB8" w:rsidP="00EF5AB8">
      <w:pPr>
        <w:pStyle w:val="Heading2"/>
        <w:rPr>
          <w:b w:val="0"/>
          <w:bCs/>
        </w:rPr>
      </w:pPr>
      <w:r w:rsidRPr="00C44422">
        <w:rPr>
          <w:b w:val="0"/>
        </w:rPr>
        <w:t>Part Lot 5, Concession 5 (Geographic Township of Nassagaweya)</w:t>
      </w:r>
    </w:p>
    <w:p w14:paraId="4574FD6A" w14:textId="77777777" w:rsidR="00EF5AB8" w:rsidRPr="001676C4" w:rsidRDefault="00EF5AB8" w:rsidP="00EF5AB8">
      <w:pPr>
        <w:rPr>
          <w:rFonts w:ascii="Arial" w:hAnsi="Arial" w:cs="Arial"/>
          <w:b/>
          <w:bCs/>
        </w:rPr>
      </w:pPr>
      <w:r w:rsidRPr="001676C4">
        <w:rPr>
          <w:rFonts w:ascii="Arial" w:hAnsi="Arial" w:cs="Arial"/>
        </w:rPr>
        <w:t>Region of Halton, Town of Milton</w:t>
      </w:r>
      <w:r w:rsidRPr="001676C4">
        <w:rPr>
          <w:rFonts w:ascii="Arial" w:hAnsi="Arial" w:cs="Arial"/>
          <w:b/>
          <w:bCs/>
        </w:rPr>
        <w:t xml:space="preserve"> </w:t>
      </w:r>
    </w:p>
    <w:p w14:paraId="342AA69F" w14:textId="77777777" w:rsidR="00EF5AB8" w:rsidRPr="00B3628B" w:rsidRDefault="00EF5AB8" w:rsidP="00EF5AB8">
      <w:pPr>
        <w:rPr>
          <w:rFonts w:ascii="Arial" w:hAnsi="Arial" w:cs="Arial"/>
          <w:b/>
          <w:bCs/>
          <w:szCs w:val="24"/>
        </w:rPr>
      </w:pPr>
      <w:r w:rsidRPr="00B3628B">
        <w:rPr>
          <w:rFonts w:ascii="Arial" w:hAnsi="Arial" w:cs="Arial"/>
          <w:b/>
          <w:bCs/>
          <w:szCs w:val="24"/>
        </w:rPr>
        <w:t xml:space="preserve">APPLICANT/ OWNERSHIP: </w:t>
      </w:r>
    </w:p>
    <w:p w14:paraId="6346F6CE" w14:textId="77777777" w:rsidR="00EF5AB8" w:rsidRDefault="00EF5AB8" w:rsidP="00EF5AB8">
      <w:pPr>
        <w:spacing w:after="0" w:line="240" w:lineRule="auto"/>
        <w:rPr>
          <w:rFonts w:ascii="Arial" w:hAnsi="Arial" w:cs="Arial"/>
        </w:rPr>
      </w:pPr>
      <w:r>
        <w:rPr>
          <w:rFonts w:ascii="Arial" w:hAnsi="Arial" w:cs="Arial"/>
        </w:rPr>
        <w:t>Applicant:</w:t>
      </w:r>
      <w:r>
        <w:rPr>
          <w:rFonts w:ascii="Arial" w:hAnsi="Arial" w:cs="Arial"/>
        </w:rPr>
        <w:tab/>
        <w:t>4000 Campbellville Rd Inc. (c/o Herbert Arnold, LLP)</w:t>
      </w:r>
    </w:p>
    <w:p w14:paraId="34771CE5" w14:textId="77777777" w:rsidR="00EF5AB8" w:rsidRDefault="00EF5AB8" w:rsidP="00EF5AB8">
      <w:pPr>
        <w:spacing w:after="0" w:line="240" w:lineRule="auto"/>
        <w:rPr>
          <w:rFonts w:ascii="Arial" w:hAnsi="Arial" w:cs="Arial"/>
        </w:rPr>
      </w:pPr>
    </w:p>
    <w:p w14:paraId="589C51C9" w14:textId="77777777" w:rsidR="00EF5AB8" w:rsidRDefault="00EF5AB8" w:rsidP="00EF5AB8">
      <w:pPr>
        <w:spacing w:after="100" w:afterAutospacing="1" w:line="240" w:lineRule="auto"/>
        <w:rPr>
          <w:rFonts w:ascii="Arial" w:hAnsi="Arial" w:cs="Arial"/>
        </w:rPr>
      </w:pPr>
      <w:r>
        <w:rPr>
          <w:rFonts w:ascii="Arial" w:hAnsi="Arial" w:cs="Arial"/>
        </w:rPr>
        <w:t xml:space="preserve">Owner: </w:t>
      </w:r>
      <w:r>
        <w:rPr>
          <w:rFonts w:ascii="Arial" w:hAnsi="Arial" w:cs="Arial"/>
        </w:rPr>
        <w:tab/>
        <w:t xml:space="preserve">2647857 Ontario Inc. </w:t>
      </w:r>
    </w:p>
    <w:p w14:paraId="7FFA68A1" w14:textId="77777777" w:rsidR="00EF5AB8" w:rsidRPr="00B3628B" w:rsidRDefault="00EF5AB8" w:rsidP="00EF5AB8">
      <w:pPr>
        <w:spacing w:after="100" w:afterAutospacing="1"/>
        <w:rPr>
          <w:rFonts w:ascii="Arial" w:hAnsi="Arial" w:cs="Arial"/>
          <w:b/>
          <w:szCs w:val="24"/>
        </w:rPr>
      </w:pPr>
      <w:r w:rsidRPr="00B3628B">
        <w:rPr>
          <w:rFonts w:ascii="Arial" w:hAnsi="Arial" w:cs="Arial"/>
          <w:b/>
          <w:szCs w:val="24"/>
        </w:rPr>
        <w:t>BASIS:</w:t>
      </w:r>
    </w:p>
    <w:p w14:paraId="448CD5CF" w14:textId="77777777" w:rsidR="00EF5AB8" w:rsidRPr="00E06A19" w:rsidRDefault="00EF5AB8" w:rsidP="00EF5AB8">
      <w:pPr>
        <w:pStyle w:val="ListParagraph"/>
        <w:ind w:left="0"/>
        <w:rPr>
          <w:rFonts w:ascii="Arial" w:hAnsi="Arial" w:cs="Arial"/>
          <w:i/>
          <w:szCs w:val="24"/>
        </w:rPr>
      </w:pPr>
      <w:r w:rsidRPr="00E06A19">
        <w:rPr>
          <w:rFonts w:ascii="Arial" w:hAnsi="Arial" w:cs="Arial"/>
          <w:szCs w:val="24"/>
        </w:rPr>
        <w:t xml:space="preserve">Under Section 6.1(2) of the </w:t>
      </w:r>
      <w:r w:rsidRPr="00E06A19">
        <w:rPr>
          <w:rFonts w:ascii="Arial" w:hAnsi="Arial" w:cs="Arial"/>
          <w:i/>
          <w:szCs w:val="24"/>
        </w:rPr>
        <w:t>Niagara Escarpment Planning and Development Act</w:t>
      </w:r>
      <w:r>
        <w:rPr>
          <w:rFonts w:ascii="Arial" w:hAnsi="Arial" w:cs="Arial"/>
          <w:i/>
          <w:szCs w:val="24"/>
        </w:rPr>
        <w:t xml:space="preserve"> </w:t>
      </w:r>
      <w:r w:rsidRPr="00F87DCF">
        <w:rPr>
          <w:rFonts w:ascii="Arial" w:hAnsi="Arial" w:cs="Arial"/>
          <w:iCs/>
          <w:szCs w:val="24"/>
        </w:rPr>
        <w:t>(NEPDA),</w:t>
      </w:r>
      <w:r w:rsidRPr="00E06A19">
        <w:rPr>
          <w:rFonts w:ascii="Arial" w:hAnsi="Arial" w:cs="Arial"/>
          <w:i/>
          <w:szCs w:val="24"/>
        </w:rPr>
        <w:t xml:space="preserve"> </w:t>
      </w:r>
      <w:r w:rsidRPr="00E06A19">
        <w:rPr>
          <w:rFonts w:ascii="Arial" w:hAnsi="Arial" w:cs="Arial"/>
          <w:szCs w:val="24"/>
        </w:rPr>
        <w:t>an amendment to the Niagara Escarpment Plan “</w:t>
      </w:r>
      <w:r w:rsidRPr="00E06A19">
        <w:rPr>
          <w:rFonts w:ascii="Arial" w:hAnsi="Arial" w:cs="Arial"/>
          <w:i/>
          <w:szCs w:val="24"/>
        </w:rPr>
        <w:t>may be initiated by the Minister or the Commission, and application may be made to the Commission by any person or public body requesting an amendment to the Plan.”</w:t>
      </w:r>
    </w:p>
    <w:p w14:paraId="69F340A3" w14:textId="77777777" w:rsidR="00EF5AB8" w:rsidRPr="00E06A19" w:rsidRDefault="00EF5AB8" w:rsidP="00EF5AB8">
      <w:pPr>
        <w:pStyle w:val="ListParagraph"/>
        <w:ind w:left="360"/>
        <w:rPr>
          <w:rFonts w:ascii="Arial" w:hAnsi="Arial" w:cs="Arial"/>
          <w:szCs w:val="24"/>
        </w:rPr>
      </w:pPr>
    </w:p>
    <w:p w14:paraId="34039045" w14:textId="77777777" w:rsidR="00EF5AB8" w:rsidRPr="00E06A19" w:rsidRDefault="00EF5AB8" w:rsidP="00EF5AB8">
      <w:pPr>
        <w:pStyle w:val="ListParagraph"/>
        <w:ind w:left="0"/>
        <w:rPr>
          <w:rFonts w:ascii="Arial" w:hAnsi="Arial" w:cs="Arial"/>
          <w:szCs w:val="24"/>
        </w:rPr>
      </w:pPr>
      <w:r w:rsidRPr="00E06A19">
        <w:rPr>
          <w:rFonts w:ascii="Arial" w:hAnsi="Arial" w:cs="Arial"/>
          <w:szCs w:val="24"/>
        </w:rPr>
        <w:t>Part 1.2.1 of the NEP sets out provisions for an amendment to the NEP and this application satisfies Section 1.2.1.</w:t>
      </w:r>
    </w:p>
    <w:p w14:paraId="07C285DB" w14:textId="77777777" w:rsidR="00EF5AB8" w:rsidRPr="00E06A19" w:rsidRDefault="00EF5AB8" w:rsidP="00EF5AB8">
      <w:pPr>
        <w:pStyle w:val="ListParagraph"/>
        <w:ind w:left="0"/>
        <w:rPr>
          <w:rFonts w:ascii="Arial" w:hAnsi="Arial" w:cs="Arial"/>
          <w:szCs w:val="24"/>
        </w:rPr>
      </w:pPr>
    </w:p>
    <w:p w14:paraId="4C95CD6B" w14:textId="77777777" w:rsidR="00EF5AB8" w:rsidRPr="00F87DCF" w:rsidRDefault="00EF5AB8" w:rsidP="00EF5AB8">
      <w:pPr>
        <w:pStyle w:val="ListParagraph"/>
        <w:ind w:left="0"/>
        <w:rPr>
          <w:rFonts w:ascii="Arial" w:hAnsi="Arial" w:cs="Arial"/>
          <w:iCs/>
          <w:szCs w:val="24"/>
        </w:rPr>
      </w:pPr>
      <w:r w:rsidRPr="00E06A19">
        <w:rPr>
          <w:rFonts w:ascii="Arial" w:hAnsi="Arial" w:cs="Arial"/>
          <w:szCs w:val="24"/>
        </w:rPr>
        <w:t xml:space="preserve">Section 6.1 (2.1) of the </w:t>
      </w:r>
      <w:r w:rsidRPr="00F87DCF">
        <w:rPr>
          <w:rFonts w:ascii="Arial" w:hAnsi="Arial" w:cs="Arial"/>
          <w:szCs w:val="24"/>
        </w:rPr>
        <w:t>NEPDA</w:t>
      </w:r>
      <w:r>
        <w:rPr>
          <w:rFonts w:ascii="Arial" w:hAnsi="Arial" w:cs="Arial"/>
          <w:i/>
          <w:iCs/>
          <w:szCs w:val="24"/>
        </w:rPr>
        <w:t xml:space="preserve"> </w:t>
      </w:r>
      <w:r w:rsidRPr="00E06A19">
        <w:rPr>
          <w:rFonts w:ascii="Arial" w:hAnsi="Arial" w:cs="Arial"/>
          <w:szCs w:val="24"/>
        </w:rPr>
        <w:t xml:space="preserve">requires that an application to amend the NEP be supported by a “statement of justification” and Section 8 sets out the objectives to be addressed in consideration of an amendment to the NEP.  The applicant has provided a Planning Justification Report </w:t>
      </w:r>
      <w:r>
        <w:rPr>
          <w:rFonts w:ascii="Arial" w:hAnsi="Arial" w:cs="Arial"/>
          <w:szCs w:val="24"/>
        </w:rPr>
        <w:t xml:space="preserve">(MHBC, March 23, 2021), </w:t>
      </w:r>
      <w:r w:rsidRPr="00E06A19">
        <w:rPr>
          <w:rFonts w:ascii="Arial" w:hAnsi="Arial" w:cs="Arial"/>
          <w:szCs w:val="24"/>
        </w:rPr>
        <w:t xml:space="preserve">which satisfies the threshold justification requirements of the </w:t>
      </w:r>
      <w:r w:rsidRPr="00F87DCF">
        <w:rPr>
          <w:rFonts w:ascii="Arial" w:hAnsi="Arial" w:cs="Arial"/>
          <w:iCs/>
          <w:szCs w:val="24"/>
        </w:rPr>
        <w:t>NEPDA.</w:t>
      </w:r>
    </w:p>
    <w:p w14:paraId="29F657D1" w14:textId="77777777" w:rsidR="00EF5AB8" w:rsidRPr="008F1D8C" w:rsidRDefault="00EF5AB8" w:rsidP="00EF5AB8">
      <w:pPr>
        <w:rPr>
          <w:rFonts w:ascii="Arial" w:hAnsi="Arial" w:cs="Arial"/>
        </w:rPr>
      </w:pPr>
      <w:r w:rsidRPr="008F1D8C">
        <w:rPr>
          <w:rFonts w:ascii="Arial" w:hAnsi="Arial" w:cs="Arial"/>
        </w:rPr>
        <w:t xml:space="preserve">The </w:t>
      </w:r>
      <w:r>
        <w:rPr>
          <w:rFonts w:ascii="Arial" w:hAnsi="Arial" w:cs="Arial"/>
        </w:rPr>
        <w:t>a</w:t>
      </w:r>
      <w:r w:rsidRPr="008F1D8C">
        <w:rPr>
          <w:rFonts w:ascii="Arial" w:hAnsi="Arial" w:cs="Arial"/>
        </w:rPr>
        <w:t xml:space="preserve">mendment proposes to </w:t>
      </w:r>
      <w:r>
        <w:rPr>
          <w:rFonts w:ascii="Arial" w:hAnsi="Arial" w:cs="Arial"/>
        </w:rPr>
        <w:t xml:space="preserve">change the existing Land Use Designation of Mineral Resource Extraction Area to Escarpment Natural Area and Escarpment Protection </w:t>
      </w:r>
      <w:r>
        <w:rPr>
          <w:rFonts w:ascii="Arial" w:hAnsi="Arial" w:cs="Arial"/>
        </w:rPr>
        <w:lastRenderedPageBreak/>
        <w:t>Area, the NEC confirms that</w:t>
      </w:r>
      <w:r w:rsidRPr="008F1D8C">
        <w:rPr>
          <w:rFonts w:ascii="Arial" w:hAnsi="Arial" w:cs="Arial"/>
        </w:rPr>
        <w:t xml:space="preserve"> these designations satisfy</w:t>
      </w:r>
      <w:r>
        <w:rPr>
          <w:rFonts w:ascii="Arial" w:hAnsi="Arial" w:cs="Arial"/>
        </w:rPr>
        <w:t xml:space="preserve"> the applicable Objectives and Designation C</w:t>
      </w:r>
      <w:r w:rsidRPr="008F1D8C">
        <w:rPr>
          <w:rFonts w:ascii="Arial" w:hAnsi="Arial" w:cs="Arial"/>
        </w:rPr>
        <w:t xml:space="preserve">riteria of the NEP.  </w:t>
      </w:r>
    </w:p>
    <w:p w14:paraId="6A93AD83" w14:textId="77777777" w:rsidR="00EF5AB8" w:rsidRDefault="00EF5AB8" w:rsidP="00EF5AB8">
      <w:pPr>
        <w:rPr>
          <w:rFonts w:ascii="Arial" w:hAnsi="Arial" w:cs="Arial"/>
        </w:rPr>
      </w:pPr>
      <w:r w:rsidRPr="008F1D8C">
        <w:rPr>
          <w:rFonts w:ascii="Arial" w:hAnsi="Arial" w:cs="Arial"/>
        </w:rPr>
        <w:t xml:space="preserve">The subject lands constitute the Escarpment and lands in its vicinity which </w:t>
      </w:r>
      <w:r>
        <w:rPr>
          <w:rFonts w:ascii="Arial" w:hAnsi="Arial" w:cs="Arial"/>
        </w:rPr>
        <w:t>fulfill</w:t>
      </w:r>
      <w:r w:rsidRPr="008F1D8C">
        <w:rPr>
          <w:rFonts w:ascii="Arial" w:hAnsi="Arial" w:cs="Arial"/>
        </w:rPr>
        <w:t xml:space="preserve"> the </w:t>
      </w:r>
      <w:r>
        <w:rPr>
          <w:rFonts w:ascii="Arial" w:hAnsi="Arial" w:cs="Arial"/>
        </w:rPr>
        <w:t>P</w:t>
      </w:r>
      <w:r w:rsidRPr="008F1D8C">
        <w:rPr>
          <w:rFonts w:ascii="Arial" w:hAnsi="Arial" w:cs="Arial"/>
        </w:rPr>
        <w:t xml:space="preserve">urpose and </w:t>
      </w:r>
      <w:r>
        <w:rPr>
          <w:rFonts w:ascii="Arial" w:hAnsi="Arial" w:cs="Arial"/>
        </w:rPr>
        <w:t>O</w:t>
      </w:r>
      <w:r w:rsidRPr="008F1D8C">
        <w:rPr>
          <w:rFonts w:ascii="Arial" w:hAnsi="Arial" w:cs="Arial"/>
        </w:rPr>
        <w:t>bjectives of the NEPDA and therefore</w:t>
      </w:r>
      <w:r>
        <w:rPr>
          <w:rFonts w:ascii="Arial" w:hAnsi="Arial" w:cs="Arial"/>
        </w:rPr>
        <w:t xml:space="preserve"> such lands should be properly designated within the NEP given that the land is no longer licensed under the ARA.  The lands have been rehabilitated to the satisfaction of the Ministry of Natural Resources, and Forestry and the surrender of the license has been accepted. </w:t>
      </w:r>
    </w:p>
    <w:p w14:paraId="3E746A75" w14:textId="77777777" w:rsidR="00EF5AB8" w:rsidRDefault="00EF5AB8" w:rsidP="00EF5AB8">
      <w:pPr>
        <w:rPr>
          <w:rFonts w:ascii="Arial" w:hAnsi="Arial" w:cs="Arial"/>
        </w:rPr>
      </w:pPr>
      <w:r>
        <w:rPr>
          <w:rFonts w:ascii="Arial" w:hAnsi="Arial" w:cs="Arial"/>
        </w:rPr>
        <w:t xml:space="preserve">The amendment is consistent with the Provincial Policy Statement and supports Municipal Official Plans. </w:t>
      </w:r>
    </w:p>
    <w:p w14:paraId="1324EB9D" w14:textId="77777777" w:rsidR="00EF5AB8" w:rsidRPr="00BD2E3D" w:rsidRDefault="00EF5AB8" w:rsidP="00EF5AB8">
      <w:pPr>
        <w:rPr>
          <w:b/>
          <w:bCs/>
        </w:rPr>
      </w:pPr>
      <w:r w:rsidRPr="00BD2E3D">
        <w:rPr>
          <w:b/>
          <w:bCs/>
        </w:rPr>
        <w:t>PART B – The Amendment</w:t>
      </w:r>
    </w:p>
    <w:p w14:paraId="0A6FA919" w14:textId="77777777" w:rsidR="00EF5AB8" w:rsidRDefault="00EF5AB8" w:rsidP="00EF5AB8">
      <w:pPr>
        <w:rPr>
          <w:rFonts w:ascii="Arial" w:hAnsi="Arial" w:cs="Arial"/>
        </w:rPr>
      </w:pPr>
      <w:r w:rsidRPr="008F1D8C">
        <w:rPr>
          <w:rFonts w:ascii="Arial" w:hAnsi="Arial" w:cs="Arial"/>
        </w:rPr>
        <w:t xml:space="preserve">The Niagara Escarpment Plan is </w:t>
      </w:r>
      <w:r>
        <w:rPr>
          <w:rFonts w:ascii="Arial" w:hAnsi="Arial" w:cs="Arial"/>
        </w:rPr>
        <w:t>modified</w:t>
      </w:r>
      <w:r w:rsidRPr="008F1D8C">
        <w:rPr>
          <w:rFonts w:ascii="Arial" w:hAnsi="Arial" w:cs="Arial"/>
        </w:rPr>
        <w:t xml:space="preserve"> as follows:</w:t>
      </w:r>
    </w:p>
    <w:p w14:paraId="78B6ED5C" w14:textId="77777777" w:rsidR="00EF5AB8" w:rsidRPr="008F1D8C" w:rsidRDefault="00EF5AB8" w:rsidP="00EF5AB8">
      <w:pPr>
        <w:rPr>
          <w:rFonts w:ascii="Arial" w:hAnsi="Arial" w:cs="Arial"/>
        </w:rPr>
      </w:pPr>
      <w:r w:rsidRPr="000B73FC">
        <w:rPr>
          <w:rFonts w:ascii="Arial" w:hAnsi="Arial" w:cs="Arial"/>
        </w:rPr>
        <w:t xml:space="preserve">Map </w:t>
      </w:r>
      <w:r>
        <w:rPr>
          <w:rFonts w:ascii="Arial" w:hAnsi="Arial" w:cs="Arial"/>
        </w:rPr>
        <w:t>3</w:t>
      </w:r>
      <w:r w:rsidRPr="008F1D8C">
        <w:rPr>
          <w:rFonts w:ascii="Arial" w:hAnsi="Arial" w:cs="Arial"/>
        </w:rPr>
        <w:t xml:space="preserve"> of the Niagara Escarpment Plan is amended as shown on Schedule A</w:t>
      </w:r>
      <w:r>
        <w:rPr>
          <w:rFonts w:ascii="Arial" w:hAnsi="Arial" w:cs="Arial"/>
        </w:rPr>
        <w:t xml:space="preserve">. </w:t>
      </w:r>
    </w:p>
    <w:p w14:paraId="1CBCD4FD" w14:textId="77777777" w:rsidR="00EF5AB8" w:rsidRPr="008F1D8C" w:rsidRDefault="00EF5AB8" w:rsidP="00EF5AB8">
      <w:pPr>
        <w:tabs>
          <w:tab w:val="left" w:pos="360"/>
        </w:tabs>
        <w:rPr>
          <w:rFonts w:ascii="Arial" w:hAnsi="Arial" w:cs="Arial"/>
        </w:rPr>
      </w:pPr>
    </w:p>
    <w:p w14:paraId="1343BD6A" w14:textId="77777777" w:rsidR="00EF5AB8" w:rsidRDefault="00EF5AB8" w:rsidP="00EF5AB8">
      <w:pPr>
        <w:jc w:val="both"/>
        <w:rPr>
          <w:rFonts w:ascii="Arial" w:hAnsi="Arial" w:cs="Arial"/>
          <w:szCs w:val="24"/>
        </w:rPr>
      </w:pPr>
    </w:p>
    <w:p w14:paraId="28C63445" w14:textId="77777777" w:rsidR="00EF5AB8" w:rsidRPr="00F85186" w:rsidRDefault="00EF5AB8" w:rsidP="00EF5AB8"/>
    <w:p w14:paraId="7BE4B028" w14:textId="77777777" w:rsidR="00EF5AB8" w:rsidRDefault="00EF5AB8" w:rsidP="003A5BB2">
      <w:pPr>
        <w:spacing w:after="0" w:line="240" w:lineRule="auto"/>
        <w:rPr>
          <w:rFonts w:ascii="Arial" w:eastAsia="Times New Roman" w:hAnsi="Arial" w:cs="Arial"/>
          <w:szCs w:val="24"/>
        </w:rPr>
        <w:sectPr w:rsidR="00EF5AB8" w:rsidSect="00726084">
          <w:headerReference w:type="first" r:id="rId20"/>
          <w:pgSz w:w="12240" w:h="15840" w:code="1"/>
          <w:pgMar w:top="1440" w:right="1440" w:bottom="1440" w:left="1440" w:header="709" w:footer="709" w:gutter="0"/>
          <w:cols w:space="708"/>
          <w:titlePg/>
          <w:docGrid w:linePitch="360"/>
        </w:sectPr>
      </w:pPr>
    </w:p>
    <w:p w14:paraId="0BA76267" w14:textId="0327D397" w:rsidR="003A5BB2" w:rsidRPr="003A5BB2" w:rsidRDefault="00EF5AB8" w:rsidP="003A5BB2">
      <w:pPr>
        <w:spacing w:after="0" w:line="240" w:lineRule="auto"/>
        <w:rPr>
          <w:rFonts w:ascii="Arial" w:eastAsia="Times New Roman" w:hAnsi="Arial" w:cs="Arial"/>
          <w:szCs w:val="24"/>
        </w:rPr>
      </w:pPr>
      <w:r w:rsidRPr="00EF5AB8">
        <w:rPr>
          <w:rFonts w:ascii="Arial" w:eastAsia="Times New Roman" w:hAnsi="Arial" w:cs="Arial"/>
          <w:noProof/>
          <w:szCs w:val="24"/>
        </w:rPr>
        <w:lastRenderedPageBreak/>
        <w:drawing>
          <wp:inline distT="0" distB="0" distL="0" distR="0" wp14:anchorId="29ECF544" wp14:editId="10008907">
            <wp:extent cx="5943600" cy="7900670"/>
            <wp:effectExtent l="0" t="0" r="0" b="5080"/>
            <wp:docPr id="9" name="Picture 9" descr="PH 221 21 Schedule A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 221 21 Schedule A map"/>
                    <pic:cNvPicPr/>
                  </pic:nvPicPr>
                  <pic:blipFill>
                    <a:blip r:embed="rId21"/>
                    <a:stretch>
                      <a:fillRect/>
                    </a:stretch>
                  </pic:blipFill>
                  <pic:spPr>
                    <a:xfrm>
                      <a:off x="0" y="0"/>
                      <a:ext cx="5943600" cy="7900670"/>
                    </a:xfrm>
                    <a:prstGeom prst="rect">
                      <a:avLst/>
                    </a:prstGeom>
                  </pic:spPr>
                </pic:pic>
              </a:graphicData>
            </a:graphic>
          </wp:inline>
        </w:drawing>
      </w:r>
    </w:p>
    <w:sectPr w:rsidR="003A5BB2" w:rsidRPr="003A5BB2" w:rsidSect="00726084">
      <w:headerReference w:type="first" r:id="rId22"/>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4A34B7" w14:textId="77777777" w:rsidR="009471BD" w:rsidRDefault="009471BD" w:rsidP="00F72078">
      <w:pPr>
        <w:spacing w:after="0" w:line="240" w:lineRule="auto"/>
      </w:pPr>
      <w:r>
        <w:separator/>
      </w:r>
    </w:p>
  </w:endnote>
  <w:endnote w:type="continuationSeparator" w:id="0">
    <w:p w14:paraId="589D1F45" w14:textId="77777777" w:rsidR="009471BD" w:rsidRDefault="009471BD"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A1331" w14:textId="77777777" w:rsidR="003D15EE" w:rsidRDefault="003D15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6B7C5AE0" w14:textId="3C0D48EE" w:rsidR="00451119" w:rsidRDefault="0045111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5420D5" w14:textId="77777777" w:rsidR="00451119" w:rsidRDefault="004511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C54F4" w14:textId="1F7039FB" w:rsidR="00B40797" w:rsidRDefault="00B40797">
    <w:pPr>
      <w:pStyle w:val="Footer"/>
      <w:jc w:val="right"/>
    </w:pPr>
    <w:r>
      <w:fldChar w:fldCharType="begin"/>
    </w:r>
    <w:r>
      <w:instrText xml:space="preserve"> PAGE   \* MERGEFORMAT </w:instrText>
    </w:r>
    <w:r>
      <w:fldChar w:fldCharType="separate"/>
    </w:r>
    <w:r>
      <w:rPr>
        <w:noProof/>
      </w:rPr>
      <w:t>2</w:t>
    </w:r>
    <w:r>
      <w:rPr>
        <w:noProof/>
      </w:rPr>
      <w:fldChar w:fldCharType="end"/>
    </w:r>
  </w:p>
  <w:p w14:paraId="33236E23" w14:textId="0ACB175F" w:rsidR="00E16EFC" w:rsidRPr="00E16EFC" w:rsidRDefault="00E16EFC" w:rsidP="00E16EF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AE663" w14:textId="77777777" w:rsidR="009471BD" w:rsidRDefault="009471BD" w:rsidP="00F72078">
      <w:pPr>
        <w:spacing w:after="0" w:line="240" w:lineRule="auto"/>
      </w:pPr>
      <w:r>
        <w:separator/>
      </w:r>
    </w:p>
  </w:footnote>
  <w:footnote w:type="continuationSeparator" w:id="0">
    <w:p w14:paraId="0B0172BF" w14:textId="77777777" w:rsidR="009471BD" w:rsidRDefault="009471BD" w:rsidP="00F7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C5EFE" w14:textId="77777777" w:rsidR="003D15EE" w:rsidRDefault="003D15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627E6" w14:textId="77777777" w:rsidR="003D15EE" w:rsidRDefault="003D15E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8EDD4" w14:textId="7C1D5125" w:rsidR="00130AEB" w:rsidRPr="0035152F" w:rsidRDefault="00130AEB" w:rsidP="00130AEB">
    <w:pPr>
      <w:pStyle w:val="Heading1"/>
      <w:jc w:val="left"/>
      <w:rPr>
        <w:rFonts w:asciiTheme="minorHAnsi" w:hAnsiTheme="minorHAnsi" w:cstheme="minorHAnsi"/>
        <w:sz w:val="24"/>
        <w:szCs w:val="24"/>
      </w:rPr>
    </w:pPr>
    <w:r w:rsidRPr="0035152F">
      <w:rPr>
        <w:rFonts w:asciiTheme="minorHAnsi" w:hAnsiTheme="minorHAnsi" w:cstheme="minorHAnsi"/>
        <w:noProof/>
        <w:sz w:val="24"/>
        <w:szCs w:val="24"/>
        <w:lang w:eastAsia="en-CA"/>
      </w:rPr>
      <w:drawing>
        <wp:anchor distT="0" distB="0" distL="114300" distR="114300" simplePos="0" relativeHeight="251658240" behindDoc="1" locked="0" layoutInCell="1" allowOverlap="1" wp14:anchorId="0C23E325" wp14:editId="3F6144BC">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rPr>
        <w:rFonts w:asciiTheme="minorHAnsi" w:hAnsiTheme="minorHAnsi" w:cstheme="minorHAnsi"/>
        <w:sz w:val="24"/>
        <w:szCs w:val="24"/>
      </w:rPr>
      <w:t>Niagara Escarpment Commission</w:t>
    </w:r>
  </w:p>
  <w:p w14:paraId="11EA8540" w14:textId="50614A03" w:rsidR="00E16EFC" w:rsidRDefault="00130AEB" w:rsidP="00130AEB">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6A409C4D" w14:textId="77777777" w:rsidR="00130AEB" w:rsidRPr="0035152F" w:rsidRDefault="00130AEB" w:rsidP="00130AEB">
    <w:pPr>
      <w:pStyle w:val="Header"/>
      <w:rPr>
        <w:rFonts w:cstheme="minorHAnsi"/>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E4D0" w14:textId="77777777" w:rsidR="00EF5AB8" w:rsidRPr="00EF5AB8" w:rsidRDefault="00EF5AB8" w:rsidP="00EF5A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7BBDC" w14:textId="77777777" w:rsidR="00EF5AB8" w:rsidRPr="00EF5AB8" w:rsidRDefault="00EF5AB8" w:rsidP="00EF5AB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9BBD3" w14:textId="77777777" w:rsidR="00EF5AB8" w:rsidRPr="00EF5AB8" w:rsidRDefault="00EF5AB8" w:rsidP="00EF5A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73CE"/>
    <w:multiLevelType w:val="hybridMultilevel"/>
    <w:tmpl w:val="E3361940"/>
    <w:lvl w:ilvl="0" w:tplc="17F808DC">
      <w:start w:val="3"/>
      <w:numFmt w:val="upperLetter"/>
      <w:lvlText w:val="%1."/>
      <w:lvlJc w:val="left"/>
      <w:pPr>
        <w:ind w:left="360" w:hanging="360"/>
      </w:pPr>
      <w:rPr>
        <w:rFonts w:eastAsia="Times New Roman" w:hint="default"/>
        <w:b/>
        <w:i w:val="0"/>
        <w:iCs/>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A3966B1"/>
    <w:multiLevelType w:val="hybridMultilevel"/>
    <w:tmpl w:val="99F82430"/>
    <w:lvl w:ilvl="0" w:tplc="1009000F">
      <w:start w:val="3"/>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8B38E2"/>
    <w:multiLevelType w:val="hybridMultilevel"/>
    <w:tmpl w:val="AFF002F2"/>
    <w:lvl w:ilvl="0" w:tplc="10090017">
      <w:start w:val="1"/>
      <w:numFmt w:val="lowerLetter"/>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3501223"/>
    <w:multiLevelType w:val="hybridMultilevel"/>
    <w:tmpl w:val="9CF29C2E"/>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5B753C8"/>
    <w:multiLevelType w:val="hybridMultilevel"/>
    <w:tmpl w:val="D8EC8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A9218D6"/>
    <w:multiLevelType w:val="hybridMultilevel"/>
    <w:tmpl w:val="795AFEC8"/>
    <w:lvl w:ilvl="0" w:tplc="10090017">
      <w:start w:val="1"/>
      <w:numFmt w:val="lowerLetter"/>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1B92644D"/>
    <w:multiLevelType w:val="hybridMultilevel"/>
    <w:tmpl w:val="58DAFDD6"/>
    <w:lvl w:ilvl="0" w:tplc="00F2912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16B4FC8"/>
    <w:multiLevelType w:val="hybridMultilevel"/>
    <w:tmpl w:val="A192D46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24BB41F0"/>
    <w:multiLevelType w:val="hybridMultilevel"/>
    <w:tmpl w:val="B5C24C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E64AD9"/>
    <w:multiLevelType w:val="hybridMultilevel"/>
    <w:tmpl w:val="477CB02C"/>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3645289F"/>
    <w:multiLevelType w:val="hybridMultilevel"/>
    <w:tmpl w:val="AE7E8DCC"/>
    <w:lvl w:ilvl="0" w:tplc="34062354">
      <w:numFmt w:val="bullet"/>
      <w:lvlText w:val=""/>
      <w:lvlJc w:val="left"/>
      <w:pPr>
        <w:ind w:left="780" w:hanging="420"/>
      </w:pPr>
      <w:rPr>
        <w:rFonts w:ascii="Symbol" w:eastAsia="Times New Roman"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ED41E46"/>
    <w:multiLevelType w:val="hybridMultilevel"/>
    <w:tmpl w:val="83AE3B96"/>
    <w:lvl w:ilvl="0" w:tplc="3B4C33C6">
      <w:start w:val="3"/>
      <w:numFmt w:val="upperLetter"/>
      <w:lvlText w:val="%1."/>
      <w:lvlJc w:val="left"/>
      <w:pPr>
        <w:ind w:left="720" w:hanging="360"/>
      </w:pPr>
      <w:rPr>
        <w:rFonts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43CF21AF"/>
    <w:multiLevelType w:val="hybridMultilevel"/>
    <w:tmpl w:val="77EE688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4C383D62"/>
    <w:multiLevelType w:val="hybridMultilevel"/>
    <w:tmpl w:val="07A49B0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4DA61786"/>
    <w:multiLevelType w:val="hybridMultilevel"/>
    <w:tmpl w:val="499C43D2"/>
    <w:lvl w:ilvl="0" w:tplc="3AE26610">
      <w:start w:val="1"/>
      <w:numFmt w:val="decimal"/>
      <w:lvlText w:val="%1."/>
      <w:lvlJc w:val="left"/>
      <w:pPr>
        <w:ind w:left="810" w:hanging="360"/>
      </w:pPr>
      <w:rPr>
        <w:rFonts w:hint="default"/>
        <w:i w:val="0"/>
        <w:i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4FBC16CE"/>
    <w:multiLevelType w:val="hybridMultilevel"/>
    <w:tmpl w:val="164E30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06B6565"/>
    <w:multiLevelType w:val="hybridMultilevel"/>
    <w:tmpl w:val="6180C18A"/>
    <w:lvl w:ilvl="0" w:tplc="4692AEAA">
      <w:start w:val="1"/>
      <w:numFmt w:val="lowerLetter"/>
      <w:lvlText w:val="%1)"/>
      <w:lvlJc w:val="left"/>
      <w:pPr>
        <w:ind w:left="1004"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5D9E366B"/>
    <w:multiLevelType w:val="hybridMultilevel"/>
    <w:tmpl w:val="D144AE0E"/>
    <w:lvl w:ilvl="0" w:tplc="10090017">
      <w:start w:val="1"/>
      <w:numFmt w:val="low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15:restartNumberingAfterBreak="0">
    <w:nsid w:val="5F88378A"/>
    <w:multiLevelType w:val="hybridMultilevel"/>
    <w:tmpl w:val="6E54F442"/>
    <w:lvl w:ilvl="0" w:tplc="3D14791A">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15:restartNumberingAfterBreak="0">
    <w:nsid w:val="661E4CD8"/>
    <w:multiLevelType w:val="hybridMultilevel"/>
    <w:tmpl w:val="BA3C3792"/>
    <w:lvl w:ilvl="0" w:tplc="3EC684F2">
      <w:start w:val="1"/>
      <w:numFmt w:val="decimal"/>
      <w:lvlText w:val="%1."/>
      <w:lvlJc w:val="left"/>
      <w:pPr>
        <w:tabs>
          <w:tab w:val="num" w:pos="2874"/>
        </w:tabs>
        <w:ind w:left="2874" w:hanging="540"/>
      </w:pPr>
      <w:rPr>
        <w:rFonts w:asciiTheme="minorHAnsi" w:eastAsia="Times New Roman" w:hAnsiTheme="minorHAnsi" w:cstheme="minorHAnsi" w:hint="default"/>
      </w:rPr>
    </w:lvl>
    <w:lvl w:ilvl="1" w:tplc="10090001">
      <w:start w:val="1"/>
      <w:numFmt w:val="bullet"/>
      <w:lvlText w:val=""/>
      <w:lvlJc w:val="left"/>
      <w:pPr>
        <w:tabs>
          <w:tab w:val="num" w:pos="2694"/>
        </w:tabs>
        <w:ind w:left="2694" w:hanging="360"/>
      </w:pPr>
      <w:rPr>
        <w:rFonts w:ascii="Symbol" w:hAnsi="Symbol" w:hint="default"/>
      </w:rPr>
    </w:lvl>
    <w:lvl w:ilvl="2" w:tplc="1009001B">
      <w:start w:val="1"/>
      <w:numFmt w:val="lowerRoman"/>
      <w:lvlText w:val="%3."/>
      <w:lvlJc w:val="right"/>
      <w:pPr>
        <w:tabs>
          <w:tab w:val="num" w:pos="4134"/>
        </w:tabs>
        <w:ind w:left="4134" w:hanging="180"/>
      </w:pPr>
    </w:lvl>
    <w:lvl w:ilvl="3" w:tplc="1009000F" w:tentative="1">
      <w:start w:val="1"/>
      <w:numFmt w:val="decimal"/>
      <w:lvlText w:val="%4."/>
      <w:lvlJc w:val="left"/>
      <w:pPr>
        <w:tabs>
          <w:tab w:val="num" w:pos="4854"/>
        </w:tabs>
        <w:ind w:left="4854" w:hanging="360"/>
      </w:pPr>
    </w:lvl>
    <w:lvl w:ilvl="4" w:tplc="10090019" w:tentative="1">
      <w:start w:val="1"/>
      <w:numFmt w:val="lowerLetter"/>
      <w:lvlText w:val="%5."/>
      <w:lvlJc w:val="left"/>
      <w:pPr>
        <w:tabs>
          <w:tab w:val="num" w:pos="5574"/>
        </w:tabs>
        <w:ind w:left="5574" w:hanging="360"/>
      </w:pPr>
    </w:lvl>
    <w:lvl w:ilvl="5" w:tplc="1009001B" w:tentative="1">
      <w:start w:val="1"/>
      <w:numFmt w:val="lowerRoman"/>
      <w:lvlText w:val="%6."/>
      <w:lvlJc w:val="right"/>
      <w:pPr>
        <w:tabs>
          <w:tab w:val="num" w:pos="6294"/>
        </w:tabs>
        <w:ind w:left="6294" w:hanging="180"/>
      </w:pPr>
    </w:lvl>
    <w:lvl w:ilvl="6" w:tplc="1009000F" w:tentative="1">
      <w:start w:val="1"/>
      <w:numFmt w:val="decimal"/>
      <w:lvlText w:val="%7."/>
      <w:lvlJc w:val="left"/>
      <w:pPr>
        <w:tabs>
          <w:tab w:val="num" w:pos="7014"/>
        </w:tabs>
        <w:ind w:left="7014" w:hanging="360"/>
      </w:pPr>
    </w:lvl>
    <w:lvl w:ilvl="7" w:tplc="10090019" w:tentative="1">
      <w:start w:val="1"/>
      <w:numFmt w:val="lowerLetter"/>
      <w:lvlText w:val="%8."/>
      <w:lvlJc w:val="left"/>
      <w:pPr>
        <w:tabs>
          <w:tab w:val="num" w:pos="7734"/>
        </w:tabs>
        <w:ind w:left="7734" w:hanging="360"/>
      </w:pPr>
    </w:lvl>
    <w:lvl w:ilvl="8" w:tplc="1009001B" w:tentative="1">
      <w:start w:val="1"/>
      <w:numFmt w:val="lowerRoman"/>
      <w:lvlText w:val="%9."/>
      <w:lvlJc w:val="right"/>
      <w:pPr>
        <w:tabs>
          <w:tab w:val="num" w:pos="8454"/>
        </w:tabs>
        <w:ind w:left="8454" w:hanging="180"/>
      </w:pPr>
    </w:lvl>
  </w:abstractNum>
  <w:abstractNum w:abstractNumId="21" w15:restartNumberingAfterBreak="0">
    <w:nsid w:val="713551FA"/>
    <w:multiLevelType w:val="hybridMultilevel"/>
    <w:tmpl w:val="779AEF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73D4589B"/>
    <w:multiLevelType w:val="hybridMultilevel"/>
    <w:tmpl w:val="2F52D1A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76DC16F5"/>
    <w:multiLevelType w:val="hybridMultilevel"/>
    <w:tmpl w:val="B066E42A"/>
    <w:lvl w:ilvl="0" w:tplc="304EAEA6">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9DA707D"/>
    <w:multiLevelType w:val="hybridMultilevel"/>
    <w:tmpl w:val="BDF2976E"/>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5" w15:restartNumberingAfterBreak="0">
    <w:nsid w:val="7D7133F7"/>
    <w:multiLevelType w:val="hybridMultilevel"/>
    <w:tmpl w:val="6C9E5D98"/>
    <w:lvl w:ilvl="0" w:tplc="1B6EB00C">
      <w:start w:val="1"/>
      <w:numFmt w:val="decimal"/>
      <w:lvlText w:val="%1."/>
      <w:lvlJc w:val="left"/>
      <w:pPr>
        <w:ind w:left="72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0"/>
  </w:num>
  <w:num w:numId="2">
    <w:abstractNumId w:val="21"/>
  </w:num>
  <w:num w:numId="3">
    <w:abstractNumId w:val="24"/>
  </w:num>
  <w:num w:numId="4">
    <w:abstractNumId w:val="4"/>
  </w:num>
  <w:num w:numId="5">
    <w:abstractNumId w:val="3"/>
  </w:num>
  <w:num w:numId="6">
    <w:abstractNumId w:val="14"/>
  </w:num>
  <w:num w:numId="7">
    <w:abstractNumId w:val="2"/>
  </w:num>
  <w:num w:numId="8">
    <w:abstractNumId w:val="19"/>
  </w:num>
  <w:num w:numId="9">
    <w:abstractNumId w:val="6"/>
  </w:num>
  <w:num w:numId="10">
    <w:abstractNumId w:val="23"/>
  </w:num>
  <w:num w:numId="11">
    <w:abstractNumId w:val="8"/>
  </w:num>
  <w:num w:numId="12">
    <w:abstractNumId w:val="15"/>
  </w:num>
  <w:num w:numId="13">
    <w:abstractNumId w:val="12"/>
  </w:num>
  <w:num w:numId="14">
    <w:abstractNumId w:val="11"/>
  </w:num>
  <w:num w:numId="15">
    <w:abstractNumId w:val="9"/>
  </w:num>
  <w:num w:numId="16">
    <w:abstractNumId w:val="7"/>
  </w:num>
  <w:num w:numId="17">
    <w:abstractNumId w:val="18"/>
  </w:num>
  <w:num w:numId="18">
    <w:abstractNumId w:val="0"/>
  </w:num>
  <w:num w:numId="19">
    <w:abstractNumId w:val="22"/>
  </w:num>
  <w:num w:numId="20">
    <w:abstractNumId w:val="16"/>
  </w:num>
  <w:num w:numId="21">
    <w:abstractNumId w:val="5"/>
  </w:num>
  <w:num w:numId="22">
    <w:abstractNumId w:val="13"/>
  </w:num>
  <w:num w:numId="23">
    <w:abstractNumId w:val="20"/>
  </w:num>
  <w:num w:numId="24">
    <w:abstractNumId w:val="1"/>
  </w:num>
  <w:num w:numId="25">
    <w:abstractNumId w:val="17"/>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drawingGridHorizontalSpacing w:val="120"/>
  <w:displayHorizontalDrawingGridEvery w:val="2"/>
  <w:displayVerticalDrawingGridEvery w:val="2"/>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0A4D"/>
    <w:rsid w:val="00005B0D"/>
    <w:rsid w:val="000074C6"/>
    <w:rsid w:val="0002340F"/>
    <w:rsid w:val="000244A5"/>
    <w:rsid w:val="00035A2C"/>
    <w:rsid w:val="00050B41"/>
    <w:rsid w:val="000872F5"/>
    <w:rsid w:val="00092814"/>
    <w:rsid w:val="000A0119"/>
    <w:rsid w:val="000A05DC"/>
    <w:rsid w:val="000A1A28"/>
    <w:rsid w:val="000C67C4"/>
    <w:rsid w:val="000D3A0A"/>
    <w:rsid w:val="000E249F"/>
    <w:rsid w:val="000F3ED9"/>
    <w:rsid w:val="000F5131"/>
    <w:rsid w:val="000F75BB"/>
    <w:rsid w:val="00110437"/>
    <w:rsid w:val="00115A16"/>
    <w:rsid w:val="001227D9"/>
    <w:rsid w:val="00130AEB"/>
    <w:rsid w:val="001408EF"/>
    <w:rsid w:val="00146880"/>
    <w:rsid w:val="00153A5A"/>
    <w:rsid w:val="001827B1"/>
    <w:rsid w:val="00194885"/>
    <w:rsid w:val="0019513F"/>
    <w:rsid w:val="001A4B64"/>
    <w:rsid w:val="001C37B4"/>
    <w:rsid w:val="001C6338"/>
    <w:rsid w:val="001D76A0"/>
    <w:rsid w:val="001D7C99"/>
    <w:rsid w:val="001F129E"/>
    <w:rsid w:val="001F1895"/>
    <w:rsid w:val="00203E14"/>
    <w:rsid w:val="002135BD"/>
    <w:rsid w:val="002240E1"/>
    <w:rsid w:val="00225BE4"/>
    <w:rsid w:val="00227C52"/>
    <w:rsid w:val="00254BFD"/>
    <w:rsid w:val="00271BA7"/>
    <w:rsid w:val="00296BC7"/>
    <w:rsid w:val="002A1104"/>
    <w:rsid w:val="002B6A43"/>
    <w:rsid w:val="002D5DA5"/>
    <w:rsid w:val="002E6FF6"/>
    <w:rsid w:val="002F129C"/>
    <w:rsid w:val="00304308"/>
    <w:rsid w:val="00317F1F"/>
    <w:rsid w:val="00337798"/>
    <w:rsid w:val="0035152F"/>
    <w:rsid w:val="003535BF"/>
    <w:rsid w:val="0036413B"/>
    <w:rsid w:val="00392C66"/>
    <w:rsid w:val="003A1F0D"/>
    <w:rsid w:val="003A5BB2"/>
    <w:rsid w:val="003C544A"/>
    <w:rsid w:val="003D15EE"/>
    <w:rsid w:val="003F3509"/>
    <w:rsid w:val="00404C1A"/>
    <w:rsid w:val="00411037"/>
    <w:rsid w:val="00414A2C"/>
    <w:rsid w:val="004151A0"/>
    <w:rsid w:val="00415CB9"/>
    <w:rsid w:val="00433D24"/>
    <w:rsid w:val="004465A0"/>
    <w:rsid w:val="00451119"/>
    <w:rsid w:val="00454908"/>
    <w:rsid w:val="00460F29"/>
    <w:rsid w:val="00482248"/>
    <w:rsid w:val="00487378"/>
    <w:rsid w:val="00487ED5"/>
    <w:rsid w:val="004A2238"/>
    <w:rsid w:val="004A392D"/>
    <w:rsid w:val="004B347D"/>
    <w:rsid w:val="004B68E9"/>
    <w:rsid w:val="004B69F7"/>
    <w:rsid w:val="004E15BA"/>
    <w:rsid w:val="004E6398"/>
    <w:rsid w:val="004F1B03"/>
    <w:rsid w:val="004F20C3"/>
    <w:rsid w:val="0050145F"/>
    <w:rsid w:val="00523E5B"/>
    <w:rsid w:val="00525B30"/>
    <w:rsid w:val="00554131"/>
    <w:rsid w:val="0057735C"/>
    <w:rsid w:val="00586B8D"/>
    <w:rsid w:val="00593D1C"/>
    <w:rsid w:val="005A5E39"/>
    <w:rsid w:val="005C59C0"/>
    <w:rsid w:val="005E10A3"/>
    <w:rsid w:val="0060350C"/>
    <w:rsid w:val="00615D58"/>
    <w:rsid w:val="00624B02"/>
    <w:rsid w:val="00661E5D"/>
    <w:rsid w:val="00662EAF"/>
    <w:rsid w:val="00666886"/>
    <w:rsid w:val="0067492A"/>
    <w:rsid w:val="0069132C"/>
    <w:rsid w:val="00695E04"/>
    <w:rsid w:val="006B07FB"/>
    <w:rsid w:val="006C7751"/>
    <w:rsid w:val="006D1805"/>
    <w:rsid w:val="006D5590"/>
    <w:rsid w:val="006D72AA"/>
    <w:rsid w:val="006E32B7"/>
    <w:rsid w:val="006F06F9"/>
    <w:rsid w:val="006F175B"/>
    <w:rsid w:val="006F317B"/>
    <w:rsid w:val="00702367"/>
    <w:rsid w:val="007154B4"/>
    <w:rsid w:val="00716C04"/>
    <w:rsid w:val="00723667"/>
    <w:rsid w:val="00726084"/>
    <w:rsid w:val="0074238B"/>
    <w:rsid w:val="007528CE"/>
    <w:rsid w:val="00752BC9"/>
    <w:rsid w:val="00754B82"/>
    <w:rsid w:val="00766E43"/>
    <w:rsid w:val="00767151"/>
    <w:rsid w:val="007707B1"/>
    <w:rsid w:val="0078160F"/>
    <w:rsid w:val="007825FD"/>
    <w:rsid w:val="0078718D"/>
    <w:rsid w:val="00794C32"/>
    <w:rsid w:val="007A22CA"/>
    <w:rsid w:val="007B145C"/>
    <w:rsid w:val="007B37E6"/>
    <w:rsid w:val="007D1D4F"/>
    <w:rsid w:val="007D6DDD"/>
    <w:rsid w:val="007E2053"/>
    <w:rsid w:val="007F7E74"/>
    <w:rsid w:val="00800F82"/>
    <w:rsid w:val="008259D3"/>
    <w:rsid w:val="00842F8B"/>
    <w:rsid w:val="008903C2"/>
    <w:rsid w:val="008A7173"/>
    <w:rsid w:val="008B3DC4"/>
    <w:rsid w:val="008E13BD"/>
    <w:rsid w:val="008F208C"/>
    <w:rsid w:val="008F30D3"/>
    <w:rsid w:val="0092416C"/>
    <w:rsid w:val="00932E74"/>
    <w:rsid w:val="009440D3"/>
    <w:rsid w:val="00946953"/>
    <w:rsid w:val="009471BD"/>
    <w:rsid w:val="0095786E"/>
    <w:rsid w:val="00983BFD"/>
    <w:rsid w:val="009A2BDA"/>
    <w:rsid w:val="009A71B7"/>
    <w:rsid w:val="009B1D63"/>
    <w:rsid w:val="009B65DE"/>
    <w:rsid w:val="009C08A4"/>
    <w:rsid w:val="009C6DC6"/>
    <w:rsid w:val="009E2115"/>
    <w:rsid w:val="009E5D6E"/>
    <w:rsid w:val="00A10621"/>
    <w:rsid w:val="00A3388F"/>
    <w:rsid w:val="00A36CE9"/>
    <w:rsid w:val="00A44C27"/>
    <w:rsid w:val="00A4736E"/>
    <w:rsid w:val="00A84A0A"/>
    <w:rsid w:val="00A963FC"/>
    <w:rsid w:val="00AA6EF3"/>
    <w:rsid w:val="00AC2E31"/>
    <w:rsid w:val="00AD6DD9"/>
    <w:rsid w:val="00AD71CE"/>
    <w:rsid w:val="00AE1BAF"/>
    <w:rsid w:val="00B24B82"/>
    <w:rsid w:val="00B40797"/>
    <w:rsid w:val="00B44B0E"/>
    <w:rsid w:val="00B452CF"/>
    <w:rsid w:val="00B477EE"/>
    <w:rsid w:val="00B75F07"/>
    <w:rsid w:val="00B82F3E"/>
    <w:rsid w:val="00B93223"/>
    <w:rsid w:val="00BD7CBA"/>
    <w:rsid w:val="00BF0C91"/>
    <w:rsid w:val="00C029AC"/>
    <w:rsid w:val="00C07D93"/>
    <w:rsid w:val="00C11B70"/>
    <w:rsid w:val="00C2575E"/>
    <w:rsid w:val="00C314F8"/>
    <w:rsid w:val="00C41815"/>
    <w:rsid w:val="00C442F5"/>
    <w:rsid w:val="00C759C2"/>
    <w:rsid w:val="00C7752A"/>
    <w:rsid w:val="00C90961"/>
    <w:rsid w:val="00C93AB7"/>
    <w:rsid w:val="00CB04DA"/>
    <w:rsid w:val="00CB0B37"/>
    <w:rsid w:val="00CC034D"/>
    <w:rsid w:val="00CD3CFA"/>
    <w:rsid w:val="00CF1378"/>
    <w:rsid w:val="00D033F6"/>
    <w:rsid w:val="00D15817"/>
    <w:rsid w:val="00D21797"/>
    <w:rsid w:val="00D40A3A"/>
    <w:rsid w:val="00D651C8"/>
    <w:rsid w:val="00D83F89"/>
    <w:rsid w:val="00D851A4"/>
    <w:rsid w:val="00DB4F93"/>
    <w:rsid w:val="00DB6F6F"/>
    <w:rsid w:val="00DD3F56"/>
    <w:rsid w:val="00DD40FE"/>
    <w:rsid w:val="00E011D1"/>
    <w:rsid w:val="00E062DF"/>
    <w:rsid w:val="00E16248"/>
    <w:rsid w:val="00E16B55"/>
    <w:rsid w:val="00E16EFC"/>
    <w:rsid w:val="00E20AC6"/>
    <w:rsid w:val="00E20C22"/>
    <w:rsid w:val="00E25B54"/>
    <w:rsid w:val="00E566ED"/>
    <w:rsid w:val="00E57CB5"/>
    <w:rsid w:val="00E60193"/>
    <w:rsid w:val="00E61786"/>
    <w:rsid w:val="00E86FEF"/>
    <w:rsid w:val="00E90DD9"/>
    <w:rsid w:val="00E97AA8"/>
    <w:rsid w:val="00EB4140"/>
    <w:rsid w:val="00EC4699"/>
    <w:rsid w:val="00EC49B1"/>
    <w:rsid w:val="00EF0A2D"/>
    <w:rsid w:val="00EF4323"/>
    <w:rsid w:val="00EF5AB8"/>
    <w:rsid w:val="00F17B57"/>
    <w:rsid w:val="00F43FA8"/>
    <w:rsid w:val="00F446B8"/>
    <w:rsid w:val="00F52C69"/>
    <w:rsid w:val="00F54551"/>
    <w:rsid w:val="00F61F85"/>
    <w:rsid w:val="00F665A2"/>
    <w:rsid w:val="00F72078"/>
    <w:rsid w:val="00F85186"/>
    <w:rsid w:val="00FA62DB"/>
    <w:rsid w:val="00FB11EB"/>
    <w:rsid w:val="00FB737F"/>
    <w:rsid w:val="00FC1189"/>
    <w:rsid w:val="00FC4FDB"/>
    <w:rsid w:val="00FE363E"/>
    <w:rsid w:val="00FE62BC"/>
    <w:rsid w:val="13E7CEDC"/>
    <w:rsid w:val="1E827415"/>
    <w:rsid w:val="2B47CEC0"/>
    <w:rsid w:val="5D1CBD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hapeDefaults>
    <o:shapedefaults v:ext="edit" spidmax="69633"/>
    <o:shapelayout v:ext="edit">
      <o:idmap v:ext="edit" data="1"/>
    </o:shapelayout>
  </w:shapeDefaults>
  <w:decimalSymbol w:val="."/>
  <w:listSeparator w:val=","/>
  <w14:docId w14:val="4C3A7859"/>
  <w15:docId w15:val="{3A887D46-0AA4-41FC-B956-D3DCBDCE34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880"/>
    <w:rPr>
      <w:sz w:val="24"/>
    </w:rPr>
  </w:style>
  <w:style w:type="paragraph" w:styleId="Heading1">
    <w:name w:val="heading 1"/>
    <w:basedOn w:val="Normal"/>
    <w:next w:val="Normal"/>
    <w:link w:val="Heading1Char"/>
    <w:uiPriority w:val="9"/>
    <w:qFormat/>
    <w:rsid w:val="0035152F"/>
    <w:pPr>
      <w:spacing w:before="480" w:after="0"/>
      <w:contextualSpacing/>
      <w:jc w:val="center"/>
      <w:outlineLvl w:val="0"/>
    </w:pPr>
    <w:rPr>
      <w:rFonts w:asciiTheme="majorHAnsi" w:eastAsia="Times New Roman" w:hAnsiTheme="majorHAnsi" w:cstheme="majorBidi"/>
      <w:b/>
      <w:bCs/>
      <w:sz w:val="36"/>
      <w:szCs w:val="28"/>
    </w:rPr>
  </w:style>
  <w:style w:type="paragraph" w:styleId="Heading2">
    <w:name w:val="heading 2"/>
    <w:basedOn w:val="Normal"/>
    <w:next w:val="Normal"/>
    <w:link w:val="Heading2Char"/>
    <w:uiPriority w:val="9"/>
    <w:unhideWhenUsed/>
    <w:qFormat/>
    <w:rsid w:val="0035152F"/>
    <w:pPr>
      <w:spacing w:after="0" w:line="240" w:lineRule="auto"/>
      <w:outlineLvl w:val="1"/>
    </w:pPr>
    <w:rPr>
      <w:rFonts w:ascii="Arial" w:eastAsia="Times New Roman" w:hAnsi="Arial" w:cs="Arial"/>
      <w:b/>
      <w:szCs w:val="24"/>
    </w:rPr>
  </w:style>
  <w:style w:type="paragraph" w:styleId="Heading3">
    <w:name w:val="heading 3"/>
    <w:basedOn w:val="Normal"/>
    <w:next w:val="Normal"/>
    <w:link w:val="Heading3Char"/>
    <w:uiPriority w:val="9"/>
    <w:unhideWhenUsed/>
    <w:qFormat/>
    <w:rsid w:val="0078718D"/>
    <w:pPr>
      <w:outlineLvl w:val="2"/>
    </w:pPr>
    <w:rPr>
      <w:rFonts w:ascii="Arial" w:eastAsia="Times New Roman" w:hAnsi="Arial" w:cs="Times New Roman"/>
      <w:b/>
      <w:szCs w:val="24"/>
      <w:lang w:val="en-GB"/>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5152F"/>
    <w:rPr>
      <w:rFonts w:asciiTheme="majorHAnsi" w:eastAsia="Times New Roman" w:hAnsiTheme="majorHAnsi" w:cstheme="majorBidi"/>
      <w:b/>
      <w:bCs/>
      <w:sz w:val="36"/>
      <w:szCs w:val="28"/>
    </w:rPr>
  </w:style>
  <w:style w:type="character" w:customStyle="1" w:styleId="Heading2Char">
    <w:name w:val="Heading 2 Char"/>
    <w:basedOn w:val="DefaultParagraphFont"/>
    <w:link w:val="Heading2"/>
    <w:uiPriority w:val="9"/>
    <w:rsid w:val="0035152F"/>
    <w:rPr>
      <w:rFonts w:ascii="Arial" w:eastAsia="Times New Roman" w:hAnsi="Arial" w:cs="Arial"/>
      <w:b/>
      <w:sz w:val="24"/>
      <w:szCs w:val="24"/>
    </w:rPr>
  </w:style>
  <w:style w:type="character" w:customStyle="1" w:styleId="Heading3Char">
    <w:name w:val="Heading 3 Char"/>
    <w:basedOn w:val="DefaultParagraphFont"/>
    <w:link w:val="Heading3"/>
    <w:uiPriority w:val="9"/>
    <w:rsid w:val="0078718D"/>
    <w:rPr>
      <w:rFonts w:ascii="Arial" w:eastAsia="Times New Roman" w:hAnsi="Arial" w:cs="Times New Roman"/>
      <w:b/>
      <w:sz w:val="24"/>
      <w:szCs w:val="24"/>
      <w:lang w:val="en-GB"/>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paragraph" w:styleId="BodyText">
    <w:name w:val="Body Text"/>
    <w:basedOn w:val="Normal"/>
    <w:link w:val="BodyTextChar"/>
    <w:rsid w:val="003A5BB2"/>
    <w:pPr>
      <w:widowControl w:val="0"/>
      <w:tabs>
        <w:tab w:val="left" w:pos="-1368"/>
        <w:tab w:val="left" w:pos="-720"/>
        <w:tab w:val="left" w:pos="1152"/>
        <w:tab w:val="left" w:pos="2700"/>
      </w:tabs>
      <w:spacing w:after="0" w:line="240" w:lineRule="auto"/>
    </w:pPr>
    <w:rPr>
      <w:rFonts w:ascii="Arial" w:eastAsia="Times New Roman" w:hAnsi="Arial" w:cs="Tahoma"/>
      <w:snapToGrid w:val="0"/>
      <w:szCs w:val="20"/>
    </w:rPr>
  </w:style>
  <w:style w:type="character" w:customStyle="1" w:styleId="BodyTextChar">
    <w:name w:val="Body Text Char"/>
    <w:basedOn w:val="DefaultParagraphFont"/>
    <w:link w:val="BodyText"/>
    <w:rsid w:val="003A5BB2"/>
    <w:rPr>
      <w:rFonts w:ascii="Arial" w:eastAsia="Times New Roman" w:hAnsi="Arial" w:cs="Tahoma"/>
      <w:snapToGrid w:val="0"/>
      <w:sz w:val="24"/>
      <w:szCs w:val="20"/>
    </w:rPr>
  </w:style>
  <w:style w:type="paragraph" w:customStyle="1" w:styleId="Default">
    <w:name w:val="Default"/>
    <w:rsid w:val="00A36CE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9844022">
      <w:bodyDiv w:val="1"/>
      <w:marLeft w:val="0"/>
      <w:marRight w:val="0"/>
      <w:marTop w:val="0"/>
      <w:marBottom w:val="0"/>
      <w:divBdr>
        <w:top w:val="none" w:sz="0" w:space="0" w:color="auto"/>
        <w:left w:val="none" w:sz="0" w:space="0" w:color="auto"/>
        <w:bottom w:val="none" w:sz="0" w:space="0" w:color="auto"/>
        <w:right w:val="none" w:sz="0" w:space="0" w:color="auto"/>
      </w:divBdr>
    </w:div>
    <w:div w:id="759105547">
      <w:bodyDiv w:val="1"/>
      <w:marLeft w:val="0"/>
      <w:marRight w:val="0"/>
      <w:marTop w:val="0"/>
      <w:marBottom w:val="0"/>
      <w:divBdr>
        <w:top w:val="none" w:sz="0" w:space="0" w:color="auto"/>
        <w:left w:val="none" w:sz="0" w:space="0" w:color="auto"/>
        <w:bottom w:val="none" w:sz="0" w:space="0" w:color="auto"/>
        <w:right w:val="none" w:sz="0" w:space="0" w:color="auto"/>
      </w:divBdr>
    </w:div>
    <w:div w:id="1104308465">
      <w:bodyDiv w:val="1"/>
      <w:marLeft w:val="0"/>
      <w:marRight w:val="0"/>
      <w:marTop w:val="0"/>
      <w:marBottom w:val="0"/>
      <w:divBdr>
        <w:top w:val="none" w:sz="0" w:space="0" w:color="auto"/>
        <w:left w:val="none" w:sz="0" w:space="0" w:color="auto"/>
        <w:bottom w:val="none" w:sz="0" w:space="0" w:color="auto"/>
        <w:right w:val="none" w:sz="0" w:space="0" w:color="auto"/>
      </w:divBdr>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731421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3" ma:contentTypeDescription="Create a new document." ma:contentTypeScope="" ma:versionID="f107f197b20b29b632ee31484ca647ed">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ebaab2c968bdd94929dc9a6977756087"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B697792-83E7-4F5F-9E44-115BA551D7F0}">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caf84e0d-3cfc-4cba-975b-13912877db17"/>
    <ds:schemaRef ds:uri="http://purl.org/dc/elements/1.1/"/>
    <ds:schemaRef ds:uri="http://schemas.microsoft.com/office/2006/metadata/properties"/>
    <ds:schemaRef ds:uri="7d803f9f-cc9c-46da-96c7-099e371d8765"/>
    <ds:schemaRef ds:uri="http://www.w3.org/XML/1998/namespace"/>
    <ds:schemaRef ds:uri="http://purl.org/dc/dcmitype/"/>
  </ds:schemaRefs>
</ds:datastoreItem>
</file>

<file path=customXml/itemProps2.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3.xml><?xml version="1.0" encoding="utf-8"?>
<ds:datastoreItem xmlns:ds="http://schemas.openxmlformats.org/officeDocument/2006/customXml" ds:itemID="{D2F172AF-38F4-4C91-A025-01E8C93387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6EF30C1-8573-43F9-990D-B171056FEA3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21</Pages>
  <Words>5345</Words>
  <Characters>30469</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35743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Joe.Muller@ontario.ca</dc:creator>
  <cp:lastModifiedBy>Sadafal, Rameez (MNRF)</cp:lastModifiedBy>
  <cp:revision>4</cp:revision>
  <dcterms:created xsi:type="dcterms:W3CDTF">2022-11-09T18:24:00Z</dcterms:created>
  <dcterms:modified xsi:type="dcterms:W3CDTF">2022-11-10T16:30:00Z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2022-06-20T20:19:43Z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GrammarlyDocumentId">
    <vt:lpwstr>d5221bbdc64ad1d29ddc15b08b55f7fb2c051ea14229f210580a96b836ba2f73</vt:lpwstr>
  </property>
</Properties>
</file>