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3654" w14:textId="1F42591E" w:rsidR="00B70F17" w:rsidRPr="00EF1B83" w:rsidRDefault="00B70F17" w:rsidP="00EF1B83">
      <w:pPr>
        <w:rPr>
          <w:rFonts w:ascii="Arial" w:hAnsi="Arial" w:cs="Arial"/>
          <w:b/>
          <w:bCs/>
        </w:rPr>
      </w:pPr>
      <w:r w:rsidRPr="00EF1B83">
        <w:rPr>
          <w:rFonts w:ascii="Arial" w:hAnsi="Arial" w:cs="Arial"/>
          <w:b/>
          <w:bCs/>
        </w:rPr>
        <w:t>Appendix</w:t>
      </w:r>
      <w:r w:rsidR="00EF1B83" w:rsidRPr="00EF1B83">
        <w:rPr>
          <w:rFonts w:ascii="Arial" w:hAnsi="Arial" w:cs="Arial"/>
          <w:b/>
          <w:bCs/>
        </w:rPr>
        <w:t xml:space="preserve"> 3 – Conditions of Approval</w:t>
      </w:r>
    </w:p>
    <w:p w14:paraId="07778971" w14:textId="66137B29" w:rsidR="00B70F17" w:rsidRPr="00B70F17" w:rsidRDefault="00B70F17" w:rsidP="00EF1B83">
      <w:pPr>
        <w:rPr>
          <w:rFonts w:ascii="Arial" w:hAnsi="Arial" w:cs="Arial"/>
        </w:rPr>
      </w:pPr>
      <w:r w:rsidRPr="00B70F17">
        <w:rPr>
          <w:rFonts w:ascii="Arial" w:hAnsi="Arial" w:cs="Arial"/>
        </w:rPr>
        <w:t>411 Sulphur Springs Road, Hamilton, ON, L8P 4A9</w:t>
      </w:r>
      <w:r w:rsidR="00EF1B83">
        <w:rPr>
          <w:rFonts w:ascii="Arial" w:hAnsi="Arial" w:cs="Arial"/>
        </w:rPr>
        <w:tab/>
      </w:r>
      <w:r w:rsidR="00EF1B83">
        <w:rPr>
          <w:rFonts w:ascii="Arial" w:hAnsi="Arial" w:cs="Arial"/>
        </w:rPr>
        <w:tab/>
      </w:r>
      <w:r w:rsidR="00EF1B83">
        <w:rPr>
          <w:rFonts w:ascii="Arial" w:hAnsi="Arial" w:cs="Arial"/>
        </w:rPr>
        <w:tab/>
      </w:r>
      <w:r w:rsidRPr="00B70F17">
        <w:rPr>
          <w:rFonts w:ascii="Arial" w:hAnsi="Arial" w:cs="Arial"/>
        </w:rPr>
        <w:t>W/R/2022-2023/620</w:t>
      </w:r>
    </w:p>
    <w:p w14:paraId="10CC40BA" w14:textId="77777777" w:rsidR="00EF1B83" w:rsidRDefault="00EF1B83" w:rsidP="00B70F17">
      <w:pPr>
        <w:rPr>
          <w:rFonts w:ascii="Arial" w:hAnsi="Arial" w:cs="Arial"/>
        </w:rPr>
      </w:pPr>
    </w:p>
    <w:p w14:paraId="2E947BDB" w14:textId="0975C6B6" w:rsidR="00B70F17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1. 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Development shall proceed in accordance with the Terms and Conditions of the</w:t>
      </w:r>
      <w:r w:rsidR="009E00E1">
        <w:rPr>
          <w:rFonts w:ascii="Arial" w:hAnsi="Arial" w:cs="Arial"/>
        </w:rPr>
        <w:t xml:space="preserve"> D</w:t>
      </w:r>
      <w:r w:rsidRPr="00B70F17">
        <w:rPr>
          <w:rFonts w:ascii="Arial" w:hAnsi="Arial" w:cs="Arial"/>
        </w:rPr>
        <w:t>evelopment Permit.</w:t>
      </w:r>
    </w:p>
    <w:p w14:paraId="6C1B3854" w14:textId="77777777" w:rsidR="00B70F17" w:rsidRPr="00B70F17" w:rsidRDefault="00B70F17" w:rsidP="009E00E1">
      <w:pPr>
        <w:spacing w:line="276" w:lineRule="auto"/>
        <w:ind w:left="360" w:hanging="360"/>
        <w:contextualSpacing/>
        <w:rPr>
          <w:rFonts w:ascii="Arial" w:hAnsi="Arial" w:cs="Arial"/>
        </w:rPr>
      </w:pPr>
    </w:p>
    <w:p w14:paraId="6875391A" w14:textId="0654F6CF" w:rsidR="00B70F17" w:rsidRDefault="00B70F17" w:rsidP="009E00E1">
      <w:pPr>
        <w:spacing w:line="276" w:lineRule="auto"/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2. 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The Development Permit shall expire three (3) years from the date it has been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issued unless the development has been completed in accordance with the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Development Permit.</w:t>
      </w:r>
    </w:p>
    <w:p w14:paraId="7FF64B74" w14:textId="77777777" w:rsidR="00B70F17" w:rsidRPr="00B70F17" w:rsidRDefault="00B70F17" w:rsidP="009E00E1">
      <w:pPr>
        <w:ind w:left="360" w:hanging="360"/>
        <w:contextualSpacing/>
        <w:rPr>
          <w:rFonts w:ascii="Arial" w:hAnsi="Arial" w:cs="Arial"/>
        </w:rPr>
      </w:pPr>
    </w:p>
    <w:p w14:paraId="0B6F3358" w14:textId="048D09A4" w:rsidR="005C4282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3. 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No site alteration of the existing contours of the property including the placement or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stockpiling of fill (i.e., excess or imported soil) on the property is permitted with the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exception of that identified within the development envelope in accordance with the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 xml:space="preserve">Final </w:t>
      </w:r>
      <w:r w:rsidR="005C4282">
        <w:rPr>
          <w:rFonts w:ascii="Arial" w:hAnsi="Arial" w:cs="Arial"/>
        </w:rPr>
        <w:t xml:space="preserve">Site Grading and Erosion and Sediment Control Plan – Drawing C101, Site Servicing Plan – Drawing C102 and General Notes and Detail Plan- Drawing C103, prepared by </w:t>
      </w:r>
      <w:proofErr w:type="spellStart"/>
      <w:r w:rsidR="005C4282">
        <w:rPr>
          <w:rFonts w:ascii="Arial" w:hAnsi="Arial" w:cs="Arial"/>
        </w:rPr>
        <w:t>S.Llewellyn</w:t>
      </w:r>
      <w:proofErr w:type="spellEnd"/>
      <w:r w:rsidR="005C4282">
        <w:rPr>
          <w:rFonts w:ascii="Arial" w:hAnsi="Arial" w:cs="Arial"/>
        </w:rPr>
        <w:t xml:space="preserve"> &amp; </w:t>
      </w:r>
      <w:r w:rsidR="00302308">
        <w:rPr>
          <w:rFonts w:ascii="Arial" w:hAnsi="Arial" w:cs="Arial"/>
        </w:rPr>
        <w:t>A</w:t>
      </w:r>
      <w:r w:rsidR="005C4282">
        <w:rPr>
          <w:rFonts w:ascii="Arial" w:hAnsi="Arial" w:cs="Arial"/>
        </w:rPr>
        <w:t>ssociates Limited Consulting Engineers</w:t>
      </w:r>
      <w:r w:rsidR="00302308">
        <w:rPr>
          <w:rFonts w:ascii="Arial" w:hAnsi="Arial" w:cs="Arial"/>
        </w:rPr>
        <w:t>, Revision 1, dated December 15, 2025.</w:t>
      </w:r>
    </w:p>
    <w:p w14:paraId="6B6CA63D" w14:textId="77777777" w:rsidR="005C4282" w:rsidRDefault="005C4282" w:rsidP="009E00E1">
      <w:pPr>
        <w:ind w:left="360" w:hanging="360"/>
        <w:contextualSpacing/>
        <w:rPr>
          <w:rFonts w:ascii="Arial" w:hAnsi="Arial" w:cs="Arial"/>
        </w:rPr>
      </w:pPr>
    </w:p>
    <w:p w14:paraId="1CED0C15" w14:textId="31B79306" w:rsidR="00B70F17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>4.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 xml:space="preserve"> No vegetation shall be cut or removed from the development envelope except for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 xml:space="preserve">that identified within the development envelope in accordance with the Final </w:t>
      </w:r>
      <w:r w:rsidR="006B3270">
        <w:rPr>
          <w:rFonts w:ascii="Arial" w:hAnsi="Arial" w:cs="Arial"/>
        </w:rPr>
        <w:t>Tree</w:t>
      </w:r>
      <w:r w:rsidR="009E00E1">
        <w:rPr>
          <w:rFonts w:ascii="Arial" w:hAnsi="Arial" w:cs="Arial"/>
        </w:rPr>
        <w:t xml:space="preserve"> </w:t>
      </w:r>
      <w:r w:rsidR="006B3270">
        <w:rPr>
          <w:rFonts w:ascii="Arial" w:hAnsi="Arial" w:cs="Arial"/>
        </w:rPr>
        <w:t xml:space="preserve">Inventory and Presentation Plan, dated </w:t>
      </w:r>
      <w:proofErr w:type="gramStart"/>
      <w:r w:rsidR="006B3270">
        <w:rPr>
          <w:rFonts w:ascii="Arial" w:hAnsi="Arial" w:cs="Arial"/>
        </w:rPr>
        <w:t>October,</w:t>
      </w:r>
      <w:proofErr w:type="gramEnd"/>
      <w:r w:rsidR="006B3270">
        <w:rPr>
          <w:rFonts w:ascii="Arial" w:hAnsi="Arial" w:cs="Arial"/>
        </w:rPr>
        <w:t xml:space="preserve"> 21, 2025 and included within the Tree Protection Plan – Report, prepared by Natural Resource Solutions Inc.</w:t>
      </w:r>
    </w:p>
    <w:p w14:paraId="19B818CA" w14:textId="77777777" w:rsidR="00302308" w:rsidRDefault="00302308" w:rsidP="009E00E1">
      <w:pPr>
        <w:ind w:left="360" w:hanging="360"/>
        <w:contextualSpacing/>
        <w:rPr>
          <w:rFonts w:ascii="Arial" w:hAnsi="Arial" w:cs="Arial"/>
        </w:rPr>
      </w:pPr>
    </w:p>
    <w:p w14:paraId="1A898F74" w14:textId="6A901ABA" w:rsidR="00B70F17" w:rsidRDefault="00B70F17" w:rsidP="009E00E1">
      <w:pPr>
        <w:spacing w:line="276" w:lineRule="auto"/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5. 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If development has commenced under a Development Permit, any/all disturbed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areas of land or soil shall be re-vegetated and stabilized to the satisfaction of the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Niagara Escarpment Commission on or before the date of expiry of the Development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Permit.</w:t>
      </w:r>
    </w:p>
    <w:p w14:paraId="1EEC27DA" w14:textId="77777777" w:rsidR="00B70F17" w:rsidRPr="00B70F17" w:rsidRDefault="00B70F17" w:rsidP="009E00E1">
      <w:pPr>
        <w:ind w:left="360" w:hanging="360"/>
        <w:contextualSpacing/>
        <w:rPr>
          <w:rFonts w:ascii="Arial" w:hAnsi="Arial" w:cs="Arial"/>
        </w:rPr>
      </w:pPr>
    </w:p>
    <w:p w14:paraId="565C6EA1" w14:textId="355E51B3" w:rsidR="005C4282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6. </w:t>
      </w:r>
      <w:r w:rsidR="00334321">
        <w:rPr>
          <w:rFonts w:ascii="Arial" w:hAnsi="Arial" w:cs="Arial"/>
        </w:rPr>
        <w:t xml:space="preserve"> </w:t>
      </w:r>
      <w:r w:rsidR="005C4282">
        <w:rPr>
          <w:rFonts w:ascii="Arial" w:hAnsi="Arial" w:cs="Arial"/>
        </w:rPr>
        <w:t>D</w:t>
      </w:r>
      <w:r w:rsidRPr="00B70F17">
        <w:rPr>
          <w:rFonts w:ascii="Arial" w:hAnsi="Arial" w:cs="Arial"/>
        </w:rPr>
        <w:t xml:space="preserve">evelopment </w:t>
      </w:r>
      <w:r w:rsidR="005C4282">
        <w:rPr>
          <w:rFonts w:ascii="Arial" w:hAnsi="Arial" w:cs="Arial"/>
        </w:rPr>
        <w:t xml:space="preserve">shall proceed in accordance with the details of the </w:t>
      </w:r>
      <w:r w:rsidR="005C4282" w:rsidRPr="00B70F17">
        <w:rPr>
          <w:rFonts w:ascii="Arial" w:hAnsi="Arial" w:cs="Arial"/>
        </w:rPr>
        <w:t>Final Site Plan</w:t>
      </w:r>
      <w:r w:rsidR="005C4282">
        <w:rPr>
          <w:rFonts w:ascii="Arial" w:hAnsi="Arial" w:cs="Arial"/>
        </w:rPr>
        <w:t xml:space="preserve">s </w:t>
      </w:r>
      <w:r w:rsidR="009E00E1">
        <w:rPr>
          <w:rFonts w:ascii="Arial" w:hAnsi="Arial" w:cs="Arial"/>
        </w:rPr>
        <w:t>p</w:t>
      </w:r>
      <w:r w:rsidR="005C4282">
        <w:rPr>
          <w:rFonts w:ascii="Arial" w:hAnsi="Arial" w:cs="Arial"/>
        </w:rPr>
        <w:t xml:space="preserve">repared by </w:t>
      </w:r>
      <w:proofErr w:type="spellStart"/>
      <w:r w:rsidR="005C4282">
        <w:rPr>
          <w:rFonts w:ascii="Arial" w:hAnsi="Arial" w:cs="Arial"/>
        </w:rPr>
        <w:t>McCallium</w:t>
      </w:r>
      <w:proofErr w:type="spellEnd"/>
      <w:r w:rsidR="005C4282">
        <w:rPr>
          <w:rFonts w:ascii="Arial" w:hAnsi="Arial" w:cs="Arial"/>
        </w:rPr>
        <w:t xml:space="preserve"> Sather, Revision 2, dated December 12, 2023, titled Site Plan – SP0.1 and Enlarged Site Plan SP3.0</w:t>
      </w:r>
      <w:r w:rsidR="005C4282" w:rsidRPr="00B70F17">
        <w:rPr>
          <w:rFonts w:ascii="Arial" w:hAnsi="Arial" w:cs="Arial"/>
        </w:rPr>
        <w:t>.</w:t>
      </w:r>
    </w:p>
    <w:p w14:paraId="0082B81B" w14:textId="77777777" w:rsidR="006B3270" w:rsidRDefault="006B3270" w:rsidP="009E00E1">
      <w:pPr>
        <w:ind w:left="360" w:hanging="360"/>
        <w:contextualSpacing/>
        <w:rPr>
          <w:rFonts w:ascii="Arial" w:hAnsi="Arial" w:cs="Arial"/>
        </w:rPr>
      </w:pPr>
    </w:p>
    <w:p w14:paraId="21AFC42B" w14:textId="3E862A78" w:rsidR="00B70F17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7. </w:t>
      </w:r>
      <w:r w:rsidR="00334321">
        <w:rPr>
          <w:rFonts w:ascii="Arial" w:hAnsi="Arial" w:cs="Arial"/>
        </w:rPr>
        <w:t xml:space="preserve"> </w:t>
      </w:r>
      <w:r w:rsidR="002C2F89">
        <w:rPr>
          <w:rFonts w:ascii="Arial" w:hAnsi="Arial" w:cs="Arial"/>
        </w:rPr>
        <w:t>D</w:t>
      </w:r>
      <w:r w:rsidR="002C2F89" w:rsidRPr="00B70F17">
        <w:rPr>
          <w:rFonts w:ascii="Arial" w:hAnsi="Arial" w:cs="Arial"/>
        </w:rPr>
        <w:t xml:space="preserve">evelopment </w:t>
      </w:r>
      <w:r w:rsidR="002C2F89">
        <w:rPr>
          <w:rFonts w:ascii="Arial" w:hAnsi="Arial" w:cs="Arial"/>
        </w:rPr>
        <w:t xml:space="preserve">shall proceed in accordance with the details of the </w:t>
      </w:r>
      <w:r w:rsidR="002C2F89" w:rsidRPr="00B70F17">
        <w:rPr>
          <w:rFonts w:ascii="Arial" w:hAnsi="Arial" w:cs="Arial"/>
        </w:rPr>
        <w:t xml:space="preserve">Final </w:t>
      </w:r>
      <w:r w:rsidR="002C2F89">
        <w:rPr>
          <w:rFonts w:ascii="Arial" w:hAnsi="Arial" w:cs="Arial"/>
        </w:rPr>
        <w:t xml:space="preserve">Landscape </w:t>
      </w:r>
      <w:r w:rsidR="00BE3C24">
        <w:rPr>
          <w:rFonts w:ascii="Arial" w:hAnsi="Arial" w:cs="Arial"/>
        </w:rPr>
        <w:t>Plans</w:t>
      </w:r>
      <w:r w:rsidR="002C2F89">
        <w:rPr>
          <w:rFonts w:ascii="Arial" w:hAnsi="Arial" w:cs="Arial"/>
        </w:rPr>
        <w:t xml:space="preserve"> – LMP-01</w:t>
      </w:r>
      <w:r w:rsidR="00BE3C24">
        <w:rPr>
          <w:rFonts w:ascii="Arial" w:hAnsi="Arial" w:cs="Arial"/>
        </w:rPr>
        <w:t xml:space="preserve"> and LP-01</w:t>
      </w:r>
      <w:r w:rsidR="002C2F89">
        <w:rPr>
          <w:rFonts w:ascii="Arial" w:hAnsi="Arial" w:cs="Arial"/>
        </w:rPr>
        <w:t xml:space="preserve">, prepared by Virginia Burt designs, dated October 31, 2025. </w:t>
      </w:r>
    </w:p>
    <w:p w14:paraId="4A3ECA5E" w14:textId="77777777" w:rsidR="009E00E1" w:rsidRPr="00B70F17" w:rsidRDefault="009E00E1" w:rsidP="009E00E1">
      <w:pPr>
        <w:ind w:left="360" w:hanging="360"/>
        <w:contextualSpacing/>
        <w:rPr>
          <w:rFonts w:ascii="Arial" w:hAnsi="Arial" w:cs="Arial"/>
        </w:rPr>
      </w:pPr>
    </w:p>
    <w:p w14:paraId="6F056289" w14:textId="51B58571" w:rsidR="00B70F17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>8.</w:t>
      </w:r>
      <w:r w:rsidR="00517138" w:rsidRPr="00B70F17">
        <w:rPr>
          <w:rFonts w:ascii="Arial" w:hAnsi="Arial" w:cs="Arial"/>
        </w:rPr>
        <w:t xml:space="preserve"> </w:t>
      </w:r>
      <w:r w:rsidR="00334321">
        <w:rPr>
          <w:rFonts w:ascii="Arial" w:hAnsi="Arial" w:cs="Arial"/>
        </w:rPr>
        <w:t xml:space="preserve"> </w:t>
      </w:r>
      <w:r w:rsidR="00517138">
        <w:rPr>
          <w:rFonts w:ascii="Arial" w:hAnsi="Arial" w:cs="Arial"/>
        </w:rPr>
        <w:t>D</w:t>
      </w:r>
      <w:r w:rsidR="00517138" w:rsidRPr="00B70F17">
        <w:rPr>
          <w:rFonts w:ascii="Arial" w:hAnsi="Arial" w:cs="Arial"/>
        </w:rPr>
        <w:t xml:space="preserve">evelopment </w:t>
      </w:r>
      <w:r w:rsidR="00517138">
        <w:rPr>
          <w:rFonts w:ascii="Arial" w:hAnsi="Arial" w:cs="Arial"/>
        </w:rPr>
        <w:t xml:space="preserve">shall proceed in accordance with the details of the </w:t>
      </w:r>
      <w:r w:rsidR="00517138" w:rsidRPr="00B70F17">
        <w:rPr>
          <w:rFonts w:ascii="Arial" w:hAnsi="Arial" w:cs="Arial"/>
        </w:rPr>
        <w:t xml:space="preserve">Final </w:t>
      </w:r>
      <w:r w:rsidR="00517138">
        <w:rPr>
          <w:rFonts w:ascii="Arial" w:hAnsi="Arial" w:cs="Arial"/>
        </w:rPr>
        <w:t xml:space="preserve">Construction details, prepared by </w:t>
      </w:r>
      <w:proofErr w:type="spellStart"/>
      <w:r w:rsidR="00517138">
        <w:rPr>
          <w:rFonts w:ascii="Arial" w:hAnsi="Arial" w:cs="Arial"/>
        </w:rPr>
        <w:t>McCallium</w:t>
      </w:r>
      <w:proofErr w:type="spellEnd"/>
      <w:r w:rsidR="00517138">
        <w:rPr>
          <w:rFonts w:ascii="Arial" w:hAnsi="Arial" w:cs="Arial"/>
        </w:rPr>
        <w:t xml:space="preserve"> Sather, dated October 31, </w:t>
      </w:r>
      <w:proofErr w:type="gramStart"/>
      <w:r w:rsidR="00517138">
        <w:rPr>
          <w:rFonts w:ascii="Arial" w:hAnsi="Arial" w:cs="Arial"/>
        </w:rPr>
        <w:t>2025</w:t>
      </w:r>
      <w:proofErr w:type="gramEnd"/>
      <w:r w:rsidR="00517138">
        <w:rPr>
          <w:rFonts w:ascii="Arial" w:hAnsi="Arial" w:cs="Arial"/>
        </w:rPr>
        <w:t xml:space="preserve"> and identified as drawings SP 3.2-SP3.6 and SP4.0 – SP4.4.</w:t>
      </w:r>
    </w:p>
    <w:p w14:paraId="53200356" w14:textId="77777777" w:rsidR="009E00E1" w:rsidRPr="00B70F17" w:rsidRDefault="009E00E1" w:rsidP="009E00E1">
      <w:pPr>
        <w:ind w:left="360" w:hanging="360"/>
        <w:contextualSpacing/>
        <w:rPr>
          <w:rFonts w:ascii="Arial" w:hAnsi="Arial" w:cs="Arial"/>
        </w:rPr>
      </w:pPr>
    </w:p>
    <w:p w14:paraId="18607F6A" w14:textId="3D28C490" w:rsidR="00B70F17" w:rsidRDefault="009E00E1" w:rsidP="009E00E1">
      <w:pPr>
        <w:spacing w:line="276" w:lineRule="auto"/>
        <w:ind w:left="360"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70F17" w:rsidRPr="00B70F17">
        <w:rPr>
          <w:rFonts w:ascii="Arial" w:hAnsi="Arial" w:cs="Arial"/>
        </w:rPr>
        <w:t xml:space="preserve">. </w:t>
      </w:r>
      <w:r w:rsidR="00334321">
        <w:rPr>
          <w:rFonts w:ascii="Arial" w:hAnsi="Arial" w:cs="Arial"/>
        </w:rPr>
        <w:t xml:space="preserve"> </w:t>
      </w:r>
      <w:r w:rsidR="00B70F17" w:rsidRPr="00B70F17">
        <w:rPr>
          <w:rFonts w:ascii="Arial" w:hAnsi="Arial" w:cs="Arial"/>
        </w:rPr>
        <w:t>Prior to the commencement of any development, erosion and sediment control</w:t>
      </w:r>
      <w:r>
        <w:rPr>
          <w:rFonts w:ascii="Arial" w:hAnsi="Arial" w:cs="Arial"/>
        </w:rPr>
        <w:t xml:space="preserve"> </w:t>
      </w:r>
      <w:r w:rsidR="00B70F17" w:rsidRPr="00B70F17">
        <w:rPr>
          <w:rFonts w:ascii="Arial" w:hAnsi="Arial" w:cs="Arial"/>
        </w:rPr>
        <w:t xml:space="preserve">measures (e.g., fencing, blankets, </w:t>
      </w:r>
      <w:proofErr w:type="gramStart"/>
      <w:r w:rsidR="00B70F17" w:rsidRPr="00B70F17">
        <w:rPr>
          <w:rFonts w:ascii="Arial" w:hAnsi="Arial" w:cs="Arial"/>
        </w:rPr>
        <w:t>rip-rap</w:t>
      </w:r>
      <w:proofErr w:type="gramEnd"/>
      <w:r w:rsidR="00B70F17" w:rsidRPr="00B70F17">
        <w:rPr>
          <w:rFonts w:ascii="Arial" w:hAnsi="Arial" w:cs="Arial"/>
        </w:rPr>
        <w:t>), and/or vegetation protection fencing shall</w:t>
      </w:r>
      <w:r>
        <w:rPr>
          <w:rFonts w:ascii="Arial" w:hAnsi="Arial" w:cs="Arial"/>
        </w:rPr>
        <w:t xml:space="preserve"> </w:t>
      </w:r>
      <w:r w:rsidR="00B70F17" w:rsidRPr="00B70F17">
        <w:rPr>
          <w:rFonts w:ascii="Arial" w:hAnsi="Arial" w:cs="Arial"/>
        </w:rPr>
        <w:t xml:space="preserve">be implemented and maintained as shown on the </w:t>
      </w:r>
      <w:r w:rsidR="00517138">
        <w:rPr>
          <w:rFonts w:ascii="Arial" w:hAnsi="Arial" w:cs="Arial"/>
        </w:rPr>
        <w:t xml:space="preserve">drawings identified in </w:t>
      </w:r>
      <w:r w:rsidR="00517138" w:rsidRPr="00454186">
        <w:rPr>
          <w:rFonts w:ascii="Arial" w:hAnsi="Arial" w:cs="Arial"/>
        </w:rPr>
        <w:t>Con</w:t>
      </w:r>
      <w:r w:rsidR="001C3442" w:rsidRPr="00454186">
        <w:rPr>
          <w:rFonts w:ascii="Arial" w:hAnsi="Arial" w:cs="Arial"/>
        </w:rPr>
        <w:t>d</w:t>
      </w:r>
      <w:r w:rsidR="00517138" w:rsidRPr="00454186">
        <w:rPr>
          <w:rFonts w:ascii="Arial" w:hAnsi="Arial" w:cs="Arial"/>
        </w:rPr>
        <w:t>itions</w:t>
      </w:r>
      <w:r w:rsidR="001C3442" w:rsidRPr="00454186">
        <w:rPr>
          <w:rFonts w:ascii="Arial" w:hAnsi="Arial" w:cs="Arial"/>
        </w:rPr>
        <w:t xml:space="preserve"> 3</w:t>
      </w:r>
      <w:r w:rsidR="00BE3C24" w:rsidRPr="00454186">
        <w:rPr>
          <w:rFonts w:ascii="Arial" w:hAnsi="Arial" w:cs="Arial"/>
        </w:rPr>
        <w:t>, 4</w:t>
      </w:r>
      <w:r w:rsidR="001C3442" w:rsidRPr="00454186">
        <w:rPr>
          <w:rFonts w:ascii="Arial" w:hAnsi="Arial" w:cs="Arial"/>
        </w:rPr>
        <w:t xml:space="preserve"> and </w:t>
      </w:r>
      <w:r w:rsidR="00BE3C24" w:rsidRPr="00454186">
        <w:rPr>
          <w:rFonts w:ascii="Arial" w:hAnsi="Arial" w:cs="Arial"/>
        </w:rPr>
        <w:t>7</w:t>
      </w:r>
      <w:r w:rsidR="001C3442" w:rsidRPr="00454186">
        <w:rPr>
          <w:rFonts w:ascii="Arial" w:hAnsi="Arial" w:cs="Arial"/>
        </w:rPr>
        <w:t xml:space="preserve"> above,</w:t>
      </w:r>
      <w:r w:rsidR="001C3442">
        <w:rPr>
          <w:rFonts w:ascii="Arial" w:hAnsi="Arial" w:cs="Arial"/>
        </w:rPr>
        <w:t xml:space="preserve"> </w:t>
      </w:r>
      <w:r w:rsidR="00B70F17" w:rsidRPr="00B70F17">
        <w:rPr>
          <w:rFonts w:ascii="Arial" w:hAnsi="Arial" w:cs="Arial"/>
        </w:rPr>
        <w:t>until all disturbed</w:t>
      </w:r>
      <w:r w:rsidR="001C3442">
        <w:rPr>
          <w:rFonts w:ascii="Arial" w:hAnsi="Arial" w:cs="Arial"/>
        </w:rPr>
        <w:t xml:space="preserve"> </w:t>
      </w:r>
      <w:r w:rsidR="00B70F17" w:rsidRPr="00B70F17">
        <w:rPr>
          <w:rFonts w:ascii="Arial" w:hAnsi="Arial" w:cs="Arial"/>
        </w:rPr>
        <w:t>areas are stabilized. It is the responsibility of the landowner to implement, monitor</w:t>
      </w:r>
      <w:r w:rsidR="001C3442">
        <w:rPr>
          <w:rFonts w:ascii="Arial" w:hAnsi="Arial" w:cs="Arial"/>
        </w:rPr>
        <w:t xml:space="preserve"> </w:t>
      </w:r>
      <w:r w:rsidR="00B70F17" w:rsidRPr="00B70F17">
        <w:rPr>
          <w:rFonts w:ascii="Arial" w:hAnsi="Arial" w:cs="Arial"/>
        </w:rPr>
        <w:t>and maintain all erosion and sedimentation control measures and vegetation</w:t>
      </w:r>
      <w:r w:rsidR="001C3442">
        <w:rPr>
          <w:rFonts w:ascii="Arial" w:hAnsi="Arial" w:cs="Arial"/>
        </w:rPr>
        <w:t xml:space="preserve"> </w:t>
      </w:r>
      <w:r w:rsidR="00B70F17" w:rsidRPr="00B70F17">
        <w:rPr>
          <w:rFonts w:ascii="Arial" w:hAnsi="Arial" w:cs="Arial"/>
        </w:rPr>
        <w:t>protection fencing in good condition until vegetative cover has been successfully</w:t>
      </w:r>
      <w:r w:rsidR="001C3442">
        <w:rPr>
          <w:rFonts w:ascii="Arial" w:hAnsi="Arial" w:cs="Arial"/>
        </w:rPr>
        <w:t xml:space="preserve"> </w:t>
      </w:r>
      <w:r w:rsidR="00B70F17" w:rsidRPr="00B70F17">
        <w:rPr>
          <w:rFonts w:ascii="Arial" w:hAnsi="Arial" w:cs="Arial"/>
        </w:rPr>
        <w:t>established and the development is completed.</w:t>
      </w:r>
    </w:p>
    <w:p w14:paraId="3AD83A59" w14:textId="77777777" w:rsidR="001C3442" w:rsidRPr="00B70F17" w:rsidRDefault="001C3442" w:rsidP="009E00E1">
      <w:pPr>
        <w:spacing w:line="276" w:lineRule="auto"/>
        <w:ind w:left="360" w:hanging="360"/>
        <w:contextualSpacing/>
        <w:rPr>
          <w:rFonts w:ascii="Arial" w:hAnsi="Arial" w:cs="Arial"/>
        </w:rPr>
      </w:pPr>
    </w:p>
    <w:p w14:paraId="3E60CB14" w14:textId="22E1050C" w:rsidR="00B70F17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>1</w:t>
      </w:r>
      <w:r w:rsidR="009E00E1">
        <w:rPr>
          <w:rFonts w:ascii="Arial" w:hAnsi="Arial" w:cs="Arial"/>
        </w:rPr>
        <w:t>0</w:t>
      </w:r>
      <w:r w:rsidRPr="00B70F17">
        <w:rPr>
          <w:rFonts w:ascii="Arial" w:hAnsi="Arial" w:cs="Arial"/>
        </w:rPr>
        <w:t>. Development shall proceed in accordance with the mitigation measures of the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Natural Heritage Evaluation prepared by Natural Resource Solutions Inc. dated</w:t>
      </w:r>
      <w:r w:rsidR="009E00E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February 9, 2023.</w:t>
      </w:r>
    </w:p>
    <w:p w14:paraId="25BB5716" w14:textId="77777777" w:rsidR="001C3442" w:rsidRPr="00B70F17" w:rsidRDefault="001C3442" w:rsidP="009E00E1">
      <w:pPr>
        <w:ind w:left="360" w:hanging="360"/>
        <w:contextualSpacing/>
        <w:rPr>
          <w:rFonts w:ascii="Arial" w:hAnsi="Arial" w:cs="Arial"/>
        </w:rPr>
      </w:pPr>
    </w:p>
    <w:p w14:paraId="362E63AB" w14:textId="77777777" w:rsidR="00B70F17" w:rsidRPr="00A956EA" w:rsidRDefault="00B70F17" w:rsidP="009E00E1">
      <w:pPr>
        <w:ind w:left="360" w:hanging="360"/>
        <w:contextualSpacing/>
        <w:rPr>
          <w:rFonts w:ascii="Arial" w:hAnsi="Arial" w:cs="Arial"/>
          <w:b/>
          <w:bCs/>
        </w:rPr>
      </w:pPr>
      <w:r w:rsidRPr="00A956EA">
        <w:rPr>
          <w:rFonts w:ascii="Arial" w:hAnsi="Arial" w:cs="Arial"/>
          <w:b/>
          <w:bCs/>
        </w:rPr>
        <w:t>Advisory Notes:</w:t>
      </w:r>
    </w:p>
    <w:p w14:paraId="0DC3175B" w14:textId="6F8405EF" w:rsidR="00B70F17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a) 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A Development Permit does not limit the need for or the requirements of any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other applicable approval licence or certificate under any statute (e.g., Ontario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 xml:space="preserve">Building Code, </w:t>
      </w:r>
      <w:r w:rsidRPr="00B70F17">
        <w:rPr>
          <w:rFonts w:ascii="Arial" w:hAnsi="Arial" w:cs="Arial"/>
          <w:i/>
          <w:iCs/>
        </w:rPr>
        <w:t>Conservation Authorities Act</w:t>
      </w:r>
      <w:r w:rsidRPr="00B70F17">
        <w:rPr>
          <w:rFonts w:ascii="Arial" w:hAnsi="Arial" w:cs="Arial"/>
        </w:rPr>
        <w:t xml:space="preserve">, </w:t>
      </w:r>
      <w:r w:rsidRPr="00B70F17">
        <w:rPr>
          <w:rFonts w:ascii="Arial" w:hAnsi="Arial" w:cs="Arial"/>
          <w:i/>
          <w:iCs/>
        </w:rPr>
        <w:t>Endangered Species Act</w:t>
      </w:r>
      <w:r w:rsidRPr="00B70F17">
        <w:rPr>
          <w:rFonts w:ascii="Arial" w:hAnsi="Arial" w:cs="Arial"/>
        </w:rPr>
        <w:t>, etc.). The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Niagara Escarpment Commission Development Permit is required prior to the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issuance of any other applicable approval, licence or certificate.</w:t>
      </w:r>
    </w:p>
    <w:p w14:paraId="3987D79A" w14:textId="77777777" w:rsidR="009E00E1" w:rsidRPr="00B70F17" w:rsidRDefault="009E00E1" w:rsidP="009E00E1">
      <w:pPr>
        <w:ind w:left="360" w:hanging="360"/>
        <w:contextualSpacing/>
        <w:rPr>
          <w:rFonts w:ascii="Arial" w:hAnsi="Arial" w:cs="Arial"/>
        </w:rPr>
      </w:pPr>
    </w:p>
    <w:p w14:paraId="50FD1B2F" w14:textId="79315146" w:rsidR="00B70F17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b) 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The Niagara Escarpment Commission supports the protection of the night sky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from excessive lighting and recommends the applicant obtain information on the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use and operation of appropriate lighting fixtures in keeping with dark sky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approaches.</w:t>
      </w:r>
    </w:p>
    <w:p w14:paraId="2BB1AE38" w14:textId="77777777" w:rsidR="009E00E1" w:rsidRPr="00B70F17" w:rsidRDefault="009E00E1" w:rsidP="009E00E1">
      <w:pPr>
        <w:ind w:left="360" w:hanging="360"/>
        <w:contextualSpacing/>
        <w:rPr>
          <w:rFonts w:ascii="Arial" w:hAnsi="Arial" w:cs="Arial"/>
        </w:rPr>
      </w:pPr>
    </w:p>
    <w:p w14:paraId="0F55800A" w14:textId="4E1C2747" w:rsidR="006322FE" w:rsidRPr="00B70F17" w:rsidRDefault="00B70F17" w:rsidP="009E00E1">
      <w:pPr>
        <w:ind w:left="360" w:hanging="360"/>
        <w:contextualSpacing/>
        <w:rPr>
          <w:rFonts w:ascii="Arial" w:hAnsi="Arial" w:cs="Arial"/>
        </w:rPr>
      </w:pPr>
      <w:r w:rsidRPr="00B70F17">
        <w:rPr>
          <w:rFonts w:ascii="Arial" w:hAnsi="Arial" w:cs="Arial"/>
        </w:rPr>
        <w:t xml:space="preserve">c) 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Should deeply buried archaeological remains/resources be found on the property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during construction activities, the Ontario Ministry of Citizenship and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Multiculturalism (MCM) should be notified immediately (416-212-8886 or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archaeology@ontario.ca). In the event that human remains are encountered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during construction, the proponent should immediately contact the appropriate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authorities (police or coroner</w:t>
      </w:r>
      <w:proofErr w:type="gramStart"/>
      <w:r w:rsidRPr="00B70F17">
        <w:rPr>
          <w:rFonts w:ascii="Arial" w:hAnsi="Arial" w:cs="Arial"/>
        </w:rPr>
        <w:t>)</w:t>
      </w:r>
      <w:proofErr w:type="gramEnd"/>
      <w:r w:rsidRPr="00B70F17">
        <w:rPr>
          <w:rFonts w:ascii="Arial" w:hAnsi="Arial" w:cs="Arial"/>
        </w:rPr>
        <w:t xml:space="preserve"> and all soil disturbance must stop to allow the</w:t>
      </w:r>
      <w:r w:rsidR="00334321">
        <w:rPr>
          <w:rFonts w:ascii="Arial" w:hAnsi="Arial" w:cs="Arial"/>
        </w:rPr>
        <w:t xml:space="preserve"> </w:t>
      </w:r>
      <w:r w:rsidRPr="00B70F17">
        <w:rPr>
          <w:rFonts w:ascii="Arial" w:hAnsi="Arial" w:cs="Arial"/>
        </w:rPr>
        <w:t>authorities to investigate and the Registrar of Cemeteries to be consulted.</w:t>
      </w:r>
    </w:p>
    <w:sectPr w:rsidR="006322FE" w:rsidRPr="00B70F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17"/>
    <w:rsid w:val="001C3442"/>
    <w:rsid w:val="002C2F89"/>
    <w:rsid w:val="00302308"/>
    <w:rsid w:val="00334321"/>
    <w:rsid w:val="00454186"/>
    <w:rsid w:val="00517138"/>
    <w:rsid w:val="005C4282"/>
    <w:rsid w:val="006322FE"/>
    <w:rsid w:val="006B3270"/>
    <w:rsid w:val="00700B03"/>
    <w:rsid w:val="007C29BA"/>
    <w:rsid w:val="009C3D95"/>
    <w:rsid w:val="009E00E1"/>
    <w:rsid w:val="00A31F26"/>
    <w:rsid w:val="00A82A65"/>
    <w:rsid w:val="00A956EA"/>
    <w:rsid w:val="00B70F17"/>
    <w:rsid w:val="00BE3C24"/>
    <w:rsid w:val="00EF1B83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DFA9"/>
  <w15:chartTrackingRefBased/>
  <w15:docId w15:val="{390410FB-9566-4B54-817E-48BAD8DE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Janet (MNR)</dc:creator>
  <cp:keywords/>
  <dc:description/>
  <cp:lastModifiedBy>Sperling, Janet (MNR)</cp:lastModifiedBy>
  <cp:revision>4</cp:revision>
  <dcterms:created xsi:type="dcterms:W3CDTF">2026-03-04T21:30:00Z</dcterms:created>
  <dcterms:modified xsi:type="dcterms:W3CDTF">2026-03-11T16:50:00Z</dcterms:modified>
</cp:coreProperties>
</file>